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511" w:rsidRDefault="00403B36" w:rsidP="006B5310">
      <w:pPr>
        <w:jc w:val="both"/>
      </w:pPr>
      <w:r>
        <w:tab/>
      </w:r>
      <w:r>
        <w:tab/>
      </w:r>
      <w:r>
        <w:tab/>
      </w:r>
      <w:r>
        <w:tab/>
      </w:r>
      <w:r>
        <w:tab/>
      </w:r>
      <w:r>
        <w:tab/>
      </w:r>
      <w:r>
        <w:tab/>
      </w:r>
      <w:r>
        <w:tab/>
      </w:r>
      <w:r>
        <w:tab/>
      </w:r>
      <w:r w:rsidR="00534511">
        <w:t>PATVIRTINTA</w:t>
      </w:r>
    </w:p>
    <w:p w:rsidR="00403B36" w:rsidRDefault="00534511" w:rsidP="006B5310">
      <w:pPr>
        <w:jc w:val="both"/>
      </w:pPr>
      <w:r>
        <w:t xml:space="preserve">                                                                                                            </w:t>
      </w:r>
      <w:r w:rsidR="00403B36">
        <w:t xml:space="preserve">Šalčininkų rajono </w:t>
      </w:r>
    </w:p>
    <w:p w:rsidR="00403B36" w:rsidRDefault="00403B36" w:rsidP="006B5310">
      <w:pPr>
        <w:jc w:val="both"/>
      </w:pPr>
      <w:r>
        <w:tab/>
      </w:r>
      <w:r>
        <w:tab/>
      </w:r>
      <w:r>
        <w:tab/>
      </w:r>
      <w:r>
        <w:tab/>
      </w:r>
      <w:r>
        <w:tab/>
      </w:r>
      <w:r>
        <w:tab/>
      </w:r>
      <w:r>
        <w:tab/>
      </w:r>
      <w:r>
        <w:tab/>
      </w:r>
      <w:r>
        <w:tab/>
        <w:t xml:space="preserve">savivaldybės tarybos </w:t>
      </w:r>
    </w:p>
    <w:p w:rsidR="00403B36" w:rsidRDefault="00180A9A" w:rsidP="006B5310">
      <w:pPr>
        <w:jc w:val="both"/>
      </w:pPr>
      <w:r>
        <w:tab/>
      </w:r>
      <w:r>
        <w:tab/>
      </w:r>
      <w:r>
        <w:tab/>
      </w:r>
      <w:r>
        <w:tab/>
      </w:r>
      <w:r>
        <w:tab/>
      </w:r>
      <w:r>
        <w:tab/>
      </w:r>
      <w:r>
        <w:tab/>
      </w:r>
      <w:r>
        <w:tab/>
      </w:r>
      <w:r>
        <w:tab/>
        <w:t xml:space="preserve">2021 m. vasario 9 d. </w:t>
      </w:r>
    </w:p>
    <w:p w:rsidR="00403B36" w:rsidRDefault="00403B36" w:rsidP="006B5310">
      <w:pPr>
        <w:ind w:left="5760" w:firstLine="720"/>
        <w:jc w:val="both"/>
      </w:pPr>
      <w:r>
        <w:t>sprendim</w:t>
      </w:r>
      <w:r w:rsidR="00534511">
        <w:t>u</w:t>
      </w:r>
      <w:r>
        <w:t xml:space="preserve"> Nr. </w:t>
      </w:r>
      <w:r w:rsidR="00180A9A">
        <w:t>PR-710</w:t>
      </w:r>
      <w:bookmarkStart w:id="0" w:name="_GoBack"/>
      <w:bookmarkEnd w:id="0"/>
    </w:p>
    <w:p w:rsidR="00403B36" w:rsidRDefault="00403B36" w:rsidP="006B5310">
      <w:pPr>
        <w:jc w:val="both"/>
      </w:pPr>
      <w:r>
        <w:tab/>
      </w:r>
      <w:r>
        <w:tab/>
      </w:r>
      <w:r>
        <w:tab/>
      </w:r>
      <w:r>
        <w:tab/>
      </w:r>
      <w:r>
        <w:tab/>
      </w:r>
      <w:r>
        <w:tab/>
      </w:r>
      <w:r>
        <w:tab/>
      </w:r>
      <w:r>
        <w:tab/>
      </w:r>
      <w:r>
        <w:tab/>
        <w:t xml:space="preserve"> </w:t>
      </w:r>
    </w:p>
    <w:p w:rsidR="00403B36" w:rsidRDefault="00403B36">
      <w:pPr>
        <w:pStyle w:val="Pavadinimas"/>
      </w:pPr>
    </w:p>
    <w:p w:rsidR="00403B36" w:rsidRDefault="00403B36" w:rsidP="007737E7">
      <w:pPr>
        <w:pStyle w:val="Pavadinimas"/>
        <w:rPr>
          <w:b w:val="0"/>
          <w:bCs w:val="0"/>
        </w:rPr>
      </w:pPr>
    </w:p>
    <w:p w:rsidR="00403B36" w:rsidRPr="000A566B" w:rsidRDefault="00403B36" w:rsidP="00D674C9">
      <w:pPr>
        <w:jc w:val="both"/>
      </w:pPr>
    </w:p>
    <w:p w:rsidR="00403B36" w:rsidRPr="000A566B" w:rsidRDefault="00403B36" w:rsidP="00D674C9">
      <w:pPr>
        <w:jc w:val="both"/>
      </w:pPr>
    </w:p>
    <w:p w:rsidR="00EF3402" w:rsidRDefault="00EF3402" w:rsidP="00EF3402">
      <w:pPr>
        <w:rPr>
          <w:color w:val="000000"/>
          <w:sz w:val="44"/>
        </w:rPr>
      </w:pPr>
    </w:p>
    <w:p w:rsidR="00EF3402" w:rsidRDefault="00EF3402" w:rsidP="00EF3402">
      <w:pPr>
        <w:jc w:val="center"/>
        <w:rPr>
          <w:color w:val="000000"/>
          <w:sz w:val="44"/>
        </w:rPr>
      </w:pPr>
    </w:p>
    <w:p w:rsidR="00EF3402" w:rsidRDefault="00EA23ED" w:rsidP="00EF3402">
      <w:pPr>
        <w:jc w:val="center"/>
        <w:rPr>
          <w:caps/>
          <w:color w:val="000000"/>
          <w:sz w:val="44"/>
          <w:szCs w:val="44"/>
        </w:rPr>
      </w:pPr>
      <w:r>
        <w:fldChar w:fldCharType="begin"/>
      </w:r>
      <w:r w:rsidR="00EF3402">
        <w:instrText xml:space="preserve"> INCLUDEPICTURE "https://svsb.lt/app/default/files-module/local/mokykla/srsvsb-logo.jpg" \* MERGEFORMATINET </w:instrText>
      </w:r>
      <w:r>
        <w:fldChar w:fldCharType="separate"/>
      </w:r>
      <w:r w:rsidR="00180A9A">
        <w:fldChar w:fldCharType="begin"/>
      </w:r>
      <w:r w:rsidR="00180A9A">
        <w:instrText xml:space="preserve"> </w:instrText>
      </w:r>
      <w:r w:rsidR="00180A9A">
        <w:instrText>INCLUDEPICTURE  "https://svsb.lt/app/default/files-module/local/mokykla/srsvsb-logo.jpg" \* MERGEFORMATINET</w:instrText>
      </w:r>
      <w:r w:rsidR="00180A9A">
        <w:instrText xml:space="preserve"> </w:instrText>
      </w:r>
      <w:r w:rsidR="00180A9A">
        <w:fldChar w:fldCharType="separate"/>
      </w:r>
      <w:r w:rsidR="00180A9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Šalčininkų rajono savivaldybės visuomenės sveikatos biuras " style="width:140.25pt;height:138.75pt">
            <v:imagedata r:id="rId7" r:href="rId8"/>
          </v:shape>
        </w:pict>
      </w:r>
      <w:r w:rsidR="00180A9A">
        <w:fldChar w:fldCharType="end"/>
      </w:r>
      <w:r>
        <w:fldChar w:fldCharType="end"/>
      </w:r>
    </w:p>
    <w:p w:rsidR="00EF3402" w:rsidRPr="00F5516C" w:rsidRDefault="00EF3402" w:rsidP="00EF3402">
      <w:pPr>
        <w:jc w:val="center"/>
        <w:rPr>
          <w:caps/>
          <w:color w:val="000000"/>
          <w:sz w:val="44"/>
          <w:szCs w:val="44"/>
        </w:rPr>
      </w:pPr>
      <w:r w:rsidRPr="00F5516C">
        <w:rPr>
          <w:caps/>
          <w:color w:val="000000"/>
          <w:sz w:val="44"/>
          <w:szCs w:val="44"/>
        </w:rPr>
        <w:t>Šalčininkų rajono savivaldybės 2019 m</w:t>
      </w:r>
      <w:r>
        <w:rPr>
          <w:caps/>
          <w:color w:val="000000"/>
          <w:sz w:val="44"/>
          <w:szCs w:val="44"/>
        </w:rPr>
        <w:t>.</w:t>
      </w:r>
      <w:r w:rsidRPr="00F5516C">
        <w:rPr>
          <w:caps/>
          <w:color w:val="000000"/>
          <w:sz w:val="44"/>
          <w:szCs w:val="44"/>
        </w:rPr>
        <w:t xml:space="preserve"> visuomenės sveikatos stebėsenos ataskaita</w:t>
      </w:r>
    </w:p>
    <w:p w:rsidR="00EF3402" w:rsidRPr="00CB0B21" w:rsidRDefault="00EF3402" w:rsidP="00EF3402">
      <w:pPr>
        <w:jc w:val="center"/>
        <w:rPr>
          <w:color w:val="000000"/>
          <w:sz w:val="44"/>
          <w:szCs w:val="44"/>
        </w:rPr>
      </w:pPr>
    </w:p>
    <w:p w:rsidR="00EF3402" w:rsidRPr="00CB0B21" w:rsidRDefault="00EF3402" w:rsidP="00EF3402">
      <w:pPr>
        <w:jc w:val="center"/>
        <w:rPr>
          <w:color w:val="000000"/>
          <w:sz w:val="44"/>
          <w:szCs w:val="44"/>
        </w:rPr>
      </w:pPr>
    </w:p>
    <w:p w:rsidR="00EF3402" w:rsidRPr="00CB0B21" w:rsidRDefault="00EF3402" w:rsidP="00EF3402">
      <w:pPr>
        <w:jc w:val="center"/>
        <w:rPr>
          <w:color w:val="000000"/>
          <w:sz w:val="44"/>
          <w:szCs w:val="44"/>
        </w:rPr>
      </w:pPr>
    </w:p>
    <w:p w:rsidR="00EF3402" w:rsidRPr="00CB0B21" w:rsidRDefault="00EF3402" w:rsidP="00EF3402">
      <w:pPr>
        <w:jc w:val="center"/>
        <w:rPr>
          <w:color w:val="000000"/>
          <w:sz w:val="44"/>
          <w:szCs w:val="44"/>
        </w:rPr>
      </w:pPr>
    </w:p>
    <w:p w:rsidR="00EF3402" w:rsidRPr="00CB0B21" w:rsidRDefault="00EF3402" w:rsidP="00EF3402">
      <w:pPr>
        <w:jc w:val="center"/>
        <w:rPr>
          <w:color w:val="000000"/>
          <w:sz w:val="44"/>
          <w:szCs w:val="44"/>
        </w:rPr>
      </w:pPr>
    </w:p>
    <w:p w:rsidR="00EF3402" w:rsidRPr="00CB0B21" w:rsidRDefault="00EF3402" w:rsidP="00EF3402">
      <w:pPr>
        <w:jc w:val="center"/>
        <w:rPr>
          <w:color w:val="000000"/>
          <w:sz w:val="44"/>
          <w:szCs w:val="44"/>
        </w:rPr>
      </w:pPr>
    </w:p>
    <w:p w:rsidR="00EF3402" w:rsidRDefault="00EF3402" w:rsidP="00EF3402">
      <w:pPr>
        <w:jc w:val="center"/>
        <w:rPr>
          <w:color w:val="000000"/>
          <w:sz w:val="44"/>
          <w:szCs w:val="44"/>
        </w:rPr>
      </w:pPr>
    </w:p>
    <w:p w:rsidR="00EF3402" w:rsidRDefault="00EF3402" w:rsidP="00EF3402">
      <w:pPr>
        <w:jc w:val="center"/>
        <w:rPr>
          <w:color w:val="000000"/>
          <w:sz w:val="44"/>
          <w:szCs w:val="44"/>
        </w:rPr>
      </w:pPr>
    </w:p>
    <w:p w:rsidR="00EF3402" w:rsidRPr="008034A8" w:rsidRDefault="00EF3402" w:rsidP="00EF3402">
      <w:pPr>
        <w:jc w:val="center"/>
        <w:rPr>
          <w:color w:val="000000"/>
          <w:sz w:val="32"/>
          <w:szCs w:val="32"/>
        </w:rPr>
      </w:pPr>
    </w:p>
    <w:p w:rsidR="00EF3402" w:rsidRPr="0058256B" w:rsidRDefault="00EF3402" w:rsidP="00EF3402">
      <w:pPr>
        <w:jc w:val="center"/>
        <w:rPr>
          <w:color w:val="000000"/>
          <w:sz w:val="32"/>
          <w:szCs w:val="32"/>
          <w:lang w:val="ru-RU"/>
        </w:rPr>
      </w:pPr>
      <w:r w:rsidRPr="0058256B">
        <w:rPr>
          <w:color w:val="000000"/>
          <w:sz w:val="32"/>
          <w:szCs w:val="32"/>
          <w:lang w:val="ru-RU"/>
        </w:rPr>
        <w:t>2020</w:t>
      </w:r>
    </w:p>
    <w:p w:rsidR="00EF3402" w:rsidRDefault="00EF3402" w:rsidP="00EF3402">
      <w:pPr>
        <w:pStyle w:val="Turinys3"/>
        <w:tabs>
          <w:tab w:val="right" w:leader="dot" w:pos="9638"/>
        </w:tabs>
        <w:ind w:left="446"/>
      </w:pPr>
    </w:p>
    <w:p w:rsidR="00EF3402" w:rsidRPr="003349A2" w:rsidRDefault="00EF3402" w:rsidP="00EF3402">
      <w:pPr>
        <w:pStyle w:val="Turinioantrat"/>
        <w:rPr>
          <w:rFonts w:ascii="Times New Roman" w:hAnsi="Times New Roman"/>
          <w:color w:val="000000"/>
          <w:sz w:val="24"/>
          <w:szCs w:val="24"/>
          <w:lang w:val="en-GB"/>
        </w:rPr>
      </w:pPr>
      <w:r>
        <w:rPr>
          <w:rFonts w:ascii="Times New Roman" w:hAnsi="Times New Roman"/>
          <w:color w:val="000000"/>
          <w:sz w:val="24"/>
          <w:szCs w:val="24"/>
          <w:lang w:val="en-GB"/>
        </w:rPr>
        <w:br w:type="page"/>
      </w:r>
      <w:r w:rsidRPr="003349A2">
        <w:rPr>
          <w:rFonts w:ascii="Times New Roman" w:hAnsi="Times New Roman"/>
          <w:color w:val="000000"/>
          <w:sz w:val="24"/>
          <w:szCs w:val="24"/>
          <w:lang w:val="en-GB"/>
        </w:rPr>
        <w:lastRenderedPageBreak/>
        <w:t>TURINYS</w:t>
      </w:r>
    </w:p>
    <w:p w:rsidR="00EF3402" w:rsidRPr="002E4150" w:rsidRDefault="00EF3402" w:rsidP="00EF3402">
      <w:pPr>
        <w:pStyle w:val="Turinys3"/>
        <w:tabs>
          <w:tab w:val="left" w:pos="880"/>
          <w:tab w:val="right" w:leader="dot" w:pos="9628"/>
        </w:tabs>
        <w:ind w:left="0"/>
        <w:rPr>
          <w:rFonts w:ascii="Times New Roman" w:hAnsi="Times New Roman"/>
          <w:sz w:val="24"/>
          <w:szCs w:val="24"/>
        </w:rPr>
      </w:pPr>
    </w:p>
    <w:p w:rsidR="00EF3402" w:rsidRPr="00493EBB" w:rsidRDefault="00EA23ED" w:rsidP="00EF3402">
      <w:pPr>
        <w:pStyle w:val="Turinys3"/>
        <w:tabs>
          <w:tab w:val="left" w:pos="880"/>
          <w:tab w:val="right" w:leader="dot" w:pos="9628"/>
        </w:tabs>
        <w:ind w:left="0"/>
        <w:rPr>
          <w:rFonts w:ascii="Times New Roman" w:hAnsi="Times New Roman"/>
          <w:noProof/>
          <w:sz w:val="24"/>
          <w:szCs w:val="24"/>
        </w:rPr>
      </w:pPr>
      <w:r w:rsidRPr="00493EBB">
        <w:rPr>
          <w:rFonts w:ascii="Times New Roman" w:hAnsi="Times New Roman"/>
          <w:sz w:val="24"/>
          <w:szCs w:val="24"/>
        </w:rPr>
        <w:fldChar w:fldCharType="begin"/>
      </w:r>
      <w:r w:rsidR="00EF3402" w:rsidRPr="00493EBB">
        <w:rPr>
          <w:rFonts w:ascii="Times New Roman" w:hAnsi="Times New Roman"/>
          <w:sz w:val="24"/>
          <w:szCs w:val="24"/>
        </w:rPr>
        <w:instrText xml:space="preserve"> TOC \o "1-3" \h \z \u </w:instrText>
      </w:r>
      <w:r w:rsidRPr="00493EBB">
        <w:rPr>
          <w:rFonts w:ascii="Times New Roman" w:hAnsi="Times New Roman"/>
          <w:sz w:val="24"/>
          <w:szCs w:val="24"/>
        </w:rPr>
        <w:fldChar w:fldCharType="separate"/>
      </w:r>
      <w:hyperlink w:anchor="_Toc58936307" w:history="1">
        <w:r w:rsidR="00EF3402" w:rsidRPr="00493EBB">
          <w:rPr>
            <w:rStyle w:val="Hipersaitas"/>
            <w:rFonts w:ascii="Times New Roman" w:hAnsi="Times New Roman"/>
            <w:lang w:val="ru-RU"/>
          </w:rPr>
          <w:t>1.</w:t>
        </w:r>
        <w:r w:rsidR="00EF3402" w:rsidRPr="00493EBB">
          <w:rPr>
            <w:rFonts w:ascii="Times New Roman" w:hAnsi="Times New Roman"/>
            <w:noProof/>
            <w:sz w:val="24"/>
            <w:szCs w:val="24"/>
          </w:rPr>
          <w:t xml:space="preserve">     </w:t>
        </w:r>
        <w:r w:rsidR="00EF3402" w:rsidRPr="00493EBB">
          <w:rPr>
            <w:rStyle w:val="Hipersaitas"/>
            <w:rFonts w:ascii="Times New Roman" w:hAnsi="Times New Roman"/>
            <w:lang w:val="ru-RU"/>
          </w:rPr>
          <w:t>Į</w:t>
        </w:r>
        <w:r w:rsidR="00EF3402" w:rsidRPr="00493EBB">
          <w:rPr>
            <w:rStyle w:val="Hipersaitas"/>
            <w:rFonts w:ascii="Times New Roman" w:hAnsi="Times New Roman"/>
          </w:rPr>
          <w:t>VADAS</w:t>
        </w:r>
        <w:r w:rsidR="00EF3402" w:rsidRPr="00493EBB">
          <w:rPr>
            <w:rFonts w:ascii="Times New Roman" w:hAnsi="Times New Roman"/>
            <w:noProof/>
            <w:webHidden/>
            <w:sz w:val="24"/>
            <w:szCs w:val="24"/>
          </w:rPr>
          <w:tab/>
        </w:r>
        <w:r w:rsidRPr="00493EBB">
          <w:rPr>
            <w:rFonts w:ascii="Times New Roman" w:hAnsi="Times New Roman"/>
            <w:noProof/>
            <w:webHidden/>
            <w:sz w:val="24"/>
            <w:szCs w:val="24"/>
          </w:rPr>
          <w:fldChar w:fldCharType="begin"/>
        </w:r>
        <w:r w:rsidR="00EF3402" w:rsidRPr="00493EBB">
          <w:rPr>
            <w:rFonts w:ascii="Times New Roman" w:hAnsi="Times New Roman"/>
            <w:noProof/>
            <w:webHidden/>
            <w:sz w:val="24"/>
            <w:szCs w:val="24"/>
          </w:rPr>
          <w:instrText xml:space="preserve"> PAGEREF _Toc58936307 \h </w:instrText>
        </w:r>
        <w:r w:rsidRPr="00493EBB">
          <w:rPr>
            <w:rFonts w:ascii="Times New Roman" w:hAnsi="Times New Roman"/>
            <w:noProof/>
            <w:webHidden/>
            <w:sz w:val="24"/>
            <w:szCs w:val="24"/>
          </w:rPr>
        </w:r>
        <w:r w:rsidRPr="00493EBB">
          <w:rPr>
            <w:rFonts w:ascii="Times New Roman" w:hAnsi="Times New Roman"/>
            <w:noProof/>
            <w:webHidden/>
            <w:sz w:val="24"/>
            <w:szCs w:val="24"/>
          </w:rPr>
          <w:fldChar w:fldCharType="separate"/>
        </w:r>
        <w:r w:rsidR="00EF3402">
          <w:rPr>
            <w:rFonts w:ascii="Times New Roman" w:hAnsi="Times New Roman"/>
            <w:noProof/>
            <w:webHidden/>
            <w:sz w:val="24"/>
            <w:szCs w:val="24"/>
          </w:rPr>
          <w:t>3</w:t>
        </w:r>
        <w:r w:rsidRPr="00493EBB">
          <w:rPr>
            <w:rFonts w:ascii="Times New Roman" w:hAnsi="Times New Roman"/>
            <w:noProof/>
            <w:webHidden/>
            <w:sz w:val="24"/>
            <w:szCs w:val="24"/>
          </w:rPr>
          <w:fldChar w:fldCharType="end"/>
        </w:r>
      </w:hyperlink>
    </w:p>
    <w:p w:rsidR="00EF3402" w:rsidRPr="00493EBB" w:rsidRDefault="00180A9A" w:rsidP="00EF3402">
      <w:pPr>
        <w:pStyle w:val="Turinys1"/>
        <w:tabs>
          <w:tab w:val="left" w:pos="440"/>
          <w:tab w:val="right" w:leader="dot" w:pos="9628"/>
        </w:tabs>
        <w:rPr>
          <w:rFonts w:ascii="Times New Roman" w:hAnsi="Times New Roman"/>
          <w:noProof/>
          <w:sz w:val="24"/>
          <w:szCs w:val="24"/>
        </w:rPr>
      </w:pPr>
      <w:hyperlink w:anchor="_Toc58936308" w:history="1">
        <w:r w:rsidR="00EF3402" w:rsidRPr="00493EBB">
          <w:rPr>
            <w:rStyle w:val="Hipersaitas"/>
            <w:rFonts w:ascii="Times New Roman" w:hAnsi="Times New Roman"/>
          </w:rPr>
          <w:t>2.</w:t>
        </w:r>
        <w:r w:rsidR="00EF3402" w:rsidRPr="00493EBB">
          <w:rPr>
            <w:rFonts w:ascii="Times New Roman" w:hAnsi="Times New Roman"/>
            <w:noProof/>
            <w:sz w:val="24"/>
            <w:szCs w:val="24"/>
          </w:rPr>
          <w:tab/>
        </w:r>
        <w:r w:rsidR="00EF3402" w:rsidRPr="00493EBB">
          <w:rPr>
            <w:rStyle w:val="Hipersaitas"/>
            <w:rFonts w:ascii="Times New Roman" w:hAnsi="Times New Roman"/>
          </w:rPr>
          <w:t>DEMOGRAFINĖ SITUACIJA</w:t>
        </w:r>
        <w:r w:rsidR="00EF3402" w:rsidRPr="00493EBB">
          <w:rPr>
            <w:rFonts w:ascii="Times New Roman" w:hAnsi="Times New Roman"/>
            <w:noProof/>
            <w:webHidden/>
            <w:sz w:val="24"/>
            <w:szCs w:val="24"/>
          </w:rPr>
          <w:tab/>
        </w:r>
        <w:r w:rsidR="00EA23ED" w:rsidRPr="00493EBB">
          <w:rPr>
            <w:rFonts w:ascii="Times New Roman" w:hAnsi="Times New Roman"/>
            <w:noProof/>
            <w:webHidden/>
            <w:sz w:val="24"/>
            <w:szCs w:val="24"/>
          </w:rPr>
          <w:fldChar w:fldCharType="begin"/>
        </w:r>
        <w:r w:rsidR="00EF3402" w:rsidRPr="00493EBB">
          <w:rPr>
            <w:rFonts w:ascii="Times New Roman" w:hAnsi="Times New Roman"/>
            <w:noProof/>
            <w:webHidden/>
            <w:sz w:val="24"/>
            <w:szCs w:val="24"/>
          </w:rPr>
          <w:instrText xml:space="preserve"> PAGEREF _Toc58936308 \h </w:instrText>
        </w:r>
        <w:r w:rsidR="00EA23ED" w:rsidRPr="00493EBB">
          <w:rPr>
            <w:rFonts w:ascii="Times New Roman" w:hAnsi="Times New Roman"/>
            <w:noProof/>
            <w:webHidden/>
            <w:sz w:val="24"/>
            <w:szCs w:val="24"/>
          </w:rPr>
        </w:r>
        <w:r w:rsidR="00EA23ED" w:rsidRPr="00493EBB">
          <w:rPr>
            <w:rFonts w:ascii="Times New Roman" w:hAnsi="Times New Roman"/>
            <w:noProof/>
            <w:webHidden/>
            <w:sz w:val="24"/>
            <w:szCs w:val="24"/>
          </w:rPr>
          <w:fldChar w:fldCharType="separate"/>
        </w:r>
        <w:r w:rsidR="00EF3402">
          <w:rPr>
            <w:rFonts w:ascii="Times New Roman" w:hAnsi="Times New Roman"/>
            <w:noProof/>
            <w:webHidden/>
            <w:sz w:val="24"/>
            <w:szCs w:val="24"/>
          </w:rPr>
          <w:t>4</w:t>
        </w:r>
        <w:r w:rsidR="00EA23ED" w:rsidRPr="00493EBB">
          <w:rPr>
            <w:rFonts w:ascii="Times New Roman" w:hAnsi="Times New Roman"/>
            <w:noProof/>
            <w:webHidden/>
            <w:sz w:val="24"/>
            <w:szCs w:val="24"/>
          </w:rPr>
          <w:fldChar w:fldCharType="end"/>
        </w:r>
      </w:hyperlink>
    </w:p>
    <w:p w:rsidR="00EF3402" w:rsidRPr="00493EBB" w:rsidRDefault="00180A9A" w:rsidP="00EF3402">
      <w:pPr>
        <w:pStyle w:val="Turinys1"/>
        <w:tabs>
          <w:tab w:val="left" w:pos="440"/>
          <w:tab w:val="right" w:leader="dot" w:pos="9628"/>
        </w:tabs>
        <w:rPr>
          <w:rFonts w:ascii="Times New Roman" w:hAnsi="Times New Roman"/>
          <w:noProof/>
          <w:sz w:val="24"/>
          <w:szCs w:val="24"/>
        </w:rPr>
      </w:pPr>
      <w:hyperlink w:anchor="_Toc58936309" w:history="1">
        <w:r w:rsidR="00EF3402" w:rsidRPr="00493EBB">
          <w:rPr>
            <w:rStyle w:val="Hipersaitas"/>
            <w:rFonts w:ascii="Times New Roman" w:hAnsi="Times New Roman"/>
          </w:rPr>
          <w:t>3.</w:t>
        </w:r>
        <w:r w:rsidR="00EF3402" w:rsidRPr="00493EBB">
          <w:rPr>
            <w:rFonts w:ascii="Times New Roman" w:hAnsi="Times New Roman"/>
            <w:noProof/>
            <w:sz w:val="24"/>
            <w:szCs w:val="24"/>
          </w:rPr>
          <w:tab/>
        </w:r>
        <w:r w:rsidR="00EF3402" w:rsidRPr="00493EBB">
          <w:rPr>
            <w:rStyle w:val="Hipersaitas"/>
            <w:rFonts w:ascii="Times New Roman" w:hAnsi="Times New Roman"/>
          </w:rPr>
          <w:t>2019 METŲ ŠALČININKŲ R. SAV. SVEIKATOS IR SU SVEIKATA SUSIJUSIŲ RODIKLIŲ PROFILIS</w:t>
        </w:r>
        <w:r w:rsidR="00EF3402" w:rsidRPr="00493EBB">
          <w:rPr>
            <w:rFonts w:ascii="Times New Roman" w:hAnsi="Times New Roman"/>
            <w:noProof/>
            <w:webHidden/>
            <w:sz w:val="24"/>
            <w:szCs w:val="24"/>
          </w:rPr>
          <w:tab/>
        </w:r>
        <w:r w:rsidR="00EA23ED" w:rsidRPr="00493EBB">
          <w:rPr>
            <w:rFonts w:ascii="Times New Roman" w:hAnsi="Times New Roman"/>
            <w:noProof/>
            <w:webHidden/>
            <w:sz w:val="24"/>
            <w:szCs w:val="24"/>
          </w:rPr>
          <w:fldChar w:fldCharType="begin"/>
        </w:r>
        <w:r w:rsidR="00EF3402" w:rsidRPr="00493EBB">
          <w:rPr>
            <w:rFonts w:ascii="Times New Roman" w:hAnsi="Times New Roman"/>
            <w:noProof/>
            <w:webHidden/>
            <w:sz w:val="24"/>
            <w:szCs w:val="24"/>
          </w:rPr>
          <w:instrText xml:space="preserve"> PAGEREF _Toc58936309 \h </w:instrText>
        </w:r>
        <w:r w:rsidR="00EA23ED" w:rsidRPr="00493EBB">
          <w:rPr>
            <w:rFonts w:ascii="Times New Roman" w:hAnsi="Times New Roman"/>
            <w:noProof/>
            <w:webHidden/>
            <w:sz w:val="24"/>
            <w:szCs w:val="24"/>
          </w:rPr>
        </w:r>
        <w:r w:rsidR="00EA23ED" w:rsidRPr="00493EBB">
          <w:rPr>
            <w:rFonts w:ascii="Times New Roman" w:hAnsi="Times New Roman"/>
            <w:noProof/>
            <w:webHidden/>
            <w:sz w:val="24"/>
            <w:szCs w:val="24"/>
          </w:rPr>
          <w:fldChar w:fldCharType="separate"/>
        </w:r>
        <w:r w:rsidR="00EF3402">
          <w:rPr>
            <w:rFonts w:ascii="Times New Roman" w:hAnsi="Times New Roman"/>
            <w:noProof/>
            <w:webHidden/>
            <w:sz w:val="24"/>
            <w:szCs w:val="24"/>
          </w:rPr>
          <w:t>5</w:t>
        </w:r>
        <w:r w:rsidR="00EA23ED" w:rsidRPr="00493EBB">
          <w:rPr>
            <w:rFonts w:ascii="Times New Roman" w:hAnsi="Times New Roman"/>
            <w:noProof/>
            <w:webHidden/>
            <w:sz w:val="24"/>
            <w:szCs w:val="24"/>
          </w:rPr>
          <w:fldChar w:fldCharType="end"/>
        </w:r>
      </w:hyperlink>
    </w:p>
    <w:p w:rsidR="00EF3402" w:rsidRPr="00493EBB" w:rsidRDefault="00180A9A" w:rsidP="00EF3402">
      <w:pPr>
        <w:pStyle w:val="Turinys1"/>
        <w:tabs>
          <w:tab w:val="left" w:pos="440"/>
          <w:tab w:val="right" w:leader="dot" w:pos="9628"/>
        </w:tabs>
        <w:rPr>
          <w:rFonts w:ascii="Times New Roman" w:hAnsi="Times New Roman"/>
          <w:noProof/>
          <w:sz w:val="24"/>
          <w:szCs w:val="24"/>
        </w:rPr>
      </w:pPr>
      <w:hyperlink w:anchor="_Toc58936310" w:history="1">
        <w:r w:rsidR="00EF3402" w:rsidRPr="00493EBB">
          <w:rPr>
            <w:rStyle w:val="Hipersaitas"/>
            <w:rFonts w:ascii="Times New Roman" w:hAnsi="Times New Roman"/>
          </w:rPr>
          <w:t>4.</w:t>
        </w:r>
        <w:r w:rsidR="00EF3402" w:rsidRPr="00493EBB">
          <w:rPr>
            <w:rFonts w:ascii="Times New Roman" w:hAnsi="Times New Roman"/>
            <w:noProof/>
            <w:sz w:val="24"/>
            <w:szCs w:val="24"/>
          </w:rPr>
          <w:tab/>
        </w:r>
        <w:r w:rsidR="00EF3402" w:rsidRPr="00493EBB">
          <w:rPr>
            <w:rStyle w:val="Hipersaitas"/>
            <w:rFonts w:ascii="Times New Roman" w:hAnsi="Times New Roman"/>
          </w:rPr>
          <w:t>SAVIVALDYBĖS PRIORITETINIŲ PROBLEMŲ ANALIZĖ</w:t>
        </w:r>
        <w:r w:rsidR="00EF3402" w:rsidRPr="00493EBB">
          <w:rPr>
            <w:rFonts w:ascii="Times New Roman" w:hAnsi="Times New Roman"/>
            <w:noProof/>
            <w:webHidden/>
            <w:sz w:val="24"/>
            <w:szCs w:val="24"/>
          </w:rPr>
          <w:tab/>
        </w:r>
        <w:r w:rsidR="00EA23ED" w:rsidRPr="00493EBB">
          <w:rPr>
            <w:rFonts w:ascii="Times New Roman" w:hAnsi="Times New Roman"/>
            <w:noProof/>
            <w:webHidden/>
            <w:sz w:val="24"/>
            <w:szCs w:val="24"/>
          </w:rPr>
          <w:fldChar w:fldCharType="begin"/>
        </w:r>
        <w:r w:rsidR="00EF3402" w:rsidRPr="00493EBB">
          <w:rPr>
            <w:rFonts w:ascii="Times New Roman" w:hAnsi="Times New Roman"/>
            <w:noProof/>
            <w:webHidden/>
            <w:sz w:val="24"/>
            <w:szCs w:val="24"/>
          </w:rPr>
          <w:instrText xml:space="preserve"> PAGEREF _Toc58936310 \h </w:instrText>
        </w:r>
        <w:r w:rsidR="00EA23ED" w:rsidRPr="00493EBB">
          <w:rPr>
            <w:rFonts w:ascii="Times New Roman" w:hAnsi="Times New Roman"/>
            <w:noProof/>
            <w:webHidden/>
            <w:sz w:val="24"/>
            <w:szCs w:val="24"/>
          </w:rPr>
        </w:r>
        <w:r w:rsidR="00EA23ED" w:rsidRPr="00493EBB">
          <w:rPr>
            <w:rFonts w:ascii="Times New Roman" w:hAnsi="Times New Roman"/>
            <w:noProof/>
            <w:webHidden/>
            <w:sz w:val="24"/>
            <w:szCs w:val="24"/>
          </w:rPr>
          <w:fldChar w:fldCharType="separate"/>
        </w:r>
        <w:r w:rsidR="00EF3402">
          <w:rPr>
            <w:rFonts w:ascii="Times New Roman" w:hAnsi="Times New Roman"/>
            <w:noProof/>
            <w:webHidden/>
            <w:sz w:val="24"/>
            <w:szCs w:val="24"/>
          </w:rPr>
          <w:t>11</w:t>
        </w:r>
        <w:r w:rsidR="00EA23ED" w:rsidRPr="00493EBB">
          <w:rPr>
            <w:rFonts w:ascii="Times New Roman" w:hAnsi="Times New Roman"/>
            <w:noProof/>
            <w:webHidden/>
            <w:sz w:val="24"/>
            <w:szCs w:val="24"/>
          </w:rPr>
          <w:fldChar w:fldCharType="end"/>
        </w:r>
      </w:hyperlink>
    </w:p>
    <w:p w:rsidR="00EF3402" w:rsidRPr="00493EBB" w:rsidRDefault="00180A9A" w:rsidP="00EF3402">
      <w:pPr>
        <w:pStyle w:val="Turinys1"/>
        <w:tabs>
          <w:tab w:val="right" w:leader="dot" w:pos="9628"/>
        </w:tabs>
        <w:rPr>
          <w:rFonts w:ascii="Times New Roman" w:hAnsi="Times New Roman"/>
          <w:noProof/>
          <w:sz w:val="24"/>
          <w:szCs w:val="24"/>
        </w:rPr>
      </w:pPr>
      <w:hyperlink w:anchor="_Toc58936311" w:history="1">
        <w:r w:rsidR="00EF3402" w:rsidRPr="00493EBB">
          <w:rPr>
            <w:rStyle w:val="Hipersaitas"/>
            <w:rFonts w:ascii="Times New Roman" w:hAnsi="Times New Roman"/>
          </w:rPr>
          <w:t>4.1. ŠALČININKŲ RAJONO GYVENTOJŲ MIRTINGUMAS NUO KRAUJOTAKOS SISTEMOS LIGŲ</w:t>
        </w:r>
        <w:r w:rsidR="00EF3402" w:rsidRPr="00493EBB">
          <w:rPr>
            <w:rFonts w:ascii="Times New Roman" w:hAnsi="Times New Roman"/>
            <w:noProof/>
            <w:webHidden/>
            <w:sz w:val="24"/>
            <w:szCs w:val="24"/>
          </w:rPr>
          <w:tab/>
        </w:r>
        <w:r w:rsidR="00EA23ED" w:rsidRPr="00493EBB">
          <w:rPr>
            <w:rFonts w:ascii="Times New Roman" w:hAnsi="Times New Roman"/>
            <w:noProof/>
            <w:webHidden/>
            <w:sz w:val="24"/>
            <w:szCs w:val="24"/>
          </w:rPr>
          <w:fldChar w:fldCharType="begin"/>
        </w:r>
        <w:r w:rsidR="00EF3402" w:rsidRPr="00493EBB">
          <w:rPr>
            <w:rFonts w:ascii="Times New Roman" w:hAnsi="Times New Roman"/>
            <w:noProof/>
            <w:webHidden/>
            <w:sz w:val="24"/>
            <w:szCs w:val="24"/>
          </w:rPr>
          <w:instrText xml:space="preserve"> PAGEREF _Toc58936311 \h </w:instrText>
        </w:r>
        <w:r w:rsidR="00EA23ED" w:rsidRPr="00493EBB">
          <w:rPr>
            <w:rFonts w:ascii="Times New Roman" w:hAnsi="Times New Roman"/>
            <w:noProof/>
            <w:webHidden/>
            <w:sz w:val="24"/>
            <w:szCs w:val="24"/>
          </w:rPr>
        </w:r>
        <w:r w:rsidR="00EA23ED" w:rsidRPr="00493EBB">
          <w:rPr>
            <w:rFonts w:ascii="Times New Roman" w:hAnsi="Times New Roman"/>
            <w:noProof/>
            <w:webHidden/>
            <w:sz w:val="24"/>
            <w:szCs w:val="24"/>
          </w:rPr>
          <w:fldChar w:fldCharType="separate"/>
        </w:r>
        <w:r w:rsidR="00EF3402">
          <w:rPr>
            <w:rFonts w:ascii="Times New Roman" w:hAnsi="Times New Roman"/>
            <w:noProof/>
            <w:webHidden/>
            <w:sz w:val="24"/>
            <w:szCs w:val="24"/>
          </w:rPr>
          <w:t>11</w:t>
        </w:r>
        <w:r w:rsidR="00EA23ED" w:rsidRPr="00493EBB">
          <w:rPr>
            <w:rFonts w:ascii="Times New Roman" w:hAnsi="Times New Roman"/>
            <w:noProof/>
            <w:webHidden/>
            <w:sz w:val="24"/>
            <w:szCs w:val="24"/>
          </w:rPr>
          <w:fldChar w:fldCharType="end"/>
        </w:r>
      </w:hyperlink>
    </w:p>
    <w:p w:rsidR="00EF3402" w:rsidRPr="00493EBB" w:rsidRDefault="00180A9A" w:rsidP="00EF3402">
      <w:pPr>
        <w:pStyle w:val="Turinys1"/>
        <w:tabs>
          <w:tab w:val="right" w:leader="dot" w:pos="9628"/>
        </w:tabs>
        <w:rPr>
          <w:rFonts w:ascii="Times New Roman" w:hAnsi="Times New Roman"/>
          <w:noProof/>
          <w:sz w:val="24"/>
          <w:szCs w:val="24"/>
        </w:rPr>
      </w:pPr>
      <w:hyperlink w:anchor="_Toc58936312" w:history="1">
        <w:r w:rsidR="00EF3402" w:rsidRPr="00493EBB">
          <w:rPr>
            <w:rStyle w:val="Hipersaitas"/>
            <w:rFonts w:ascii="Times New Roman" w:hAnsi="Times New Roman"/>
          </w:rPr>
          <w:t>4.2. ŠALČININKŲ RAJONO GYVENTOJŲ MIRTINGUMAS NUO PIKTYBINIŲ NAVIKŲ</w:t>
        </w:r>
        <w:r w:rsidR="00EF3402" w:rsidRPr="00493EBB">
          <w:rPr>
            <w:rFonts w:ascii="Times New Roman" w:hAnsi="Times New Roman"/>
            <w:noProof/>
            <w:webHidden/>
            <w:sz w:val="24"/>
            <w:szCs w:val="24"/>
          </w:rPr>
          <w:tab/>
        </w:r>
        <w:r w:rsidR="00EA23ED" w:rsidRPr="00493EBB">
          <w:rPr>
            <w:rFonts w:ascii="Times New Roman" w:hAnsi="Times New Roman"/>
            <w:noProof/>
            <w:webHidden/>
            <w:sz w:val="24"/>
            <w:szCs w:val="24"/>
          </w:rPr>
          <w:fldChar w:fldCharType="begin"/>
        </w:r>
        <w:r w:rsidR="00EF3402" w:rsidRPr="00493EBB">
          <w:rPr>
            <w:rFonts w:ascii="Times New Roman" w:hAnsi="Times New Roman"/>
            <w:noProof/>
            <w:webHidden/>
            <w:sz w:val="24"/>
            <w:szCs w:val="24"/>
          </w:rPr>
          <w:instrText xml:space="preserve"> PAGEREF _Toc58936312 \h </w:instrText>
        </w:r>
        <w:r w:rsidR="00EA23ED" w:rsidRPr="00493EBB">
          <w:rPr>
            <w:rFonts w:ascii="Times New Roman" w:hAnsi="Times New Roman"/>
            <w:noProof/>
            <w:webHidden/>
            <w:sz w:val="24"/>
            <w:szCs w:val="24"/>
          </w:rPr>
        </w:r>
        <w:r w:rsidR="00EA23ED" w:rsidRPr="00493EBB">
          <w:rPr>
            <w:rFonts w:ascii="Times New Roman" w:hAnsi="Times New Roman"/>
            <w:noProof/>
            <w:webHidden/>
            <w:sz w:val="24"/>
            <w:szCs w:val="24"/>
          </w:rPr>
          <w:fldChar w:fldCharType="separate"/>
        </w:r>
        <w:r w:rsidR="00EF3402">
          <w:rPr>
            <w:rFonts w:ascii="Times New Roman" w:hAnsi="Times New Roman"/>
            <w:noProof/>
            <w:webHidden/>
            <w:sz w:val="24"/>
            <w:szCs w:val="24"/>
          </w:rPr>
          <w:t>12</w:t>
        </w:r>
        <w:r w:rsidR="00EA23ED" w:rsidRPr="00493EBB">
          <w:rPr>
            <w:rFonts w:ascii="Times New Roman" w:hAnsi="Times New Roman"/>
            <w:noProof/>
            <w:webHidden/>
            <w:sz w:val="24"/>
            <w:szCs w:val="24"/>
          </w:rPr>
          <w:fldChar w:fldCharType="end"/>
        </w:r>
      </w:hyperlink>
    </w:p>
    <w:p w:rsidR="00EF3402" w:rsidRPr="00493EBB" w:rsidRDefault="00180A9A" w:rsidP="00EF3402">
      <w:pPr>
        <w:pStyle w:val="Turinys1"/>
        <w:tabs>
          <w:tab w:val="right" w:leader="dot" w:pos="9628"/>
        </w:tabs>
        <w:rPr>
          <w:rFonts w:ascii="Times New Roman" w:hAnsi="Times New Roman"/>
          <w:noProof/>
          <w:sz w:val="24"/>
          <w:szCs w:val="24"/>
        </w:rPr>
      </w:pPr>
      <w:hyperlink w:anchor="_Toc58936313" w:history="1">
        <w:r w:rsidR="00EF3402" w:rsidRPr="00493EBB">
          <w:rPr>
            <w:rStyle w:val="Hipersaitas"/>
            <w:rFonts w:ascii="Times New Roman" w:hAnsi="Times New Roman"/>
          </w:rPr>
          <w:t>4.3. IŠVENGIAMOS HOSPITALIZACIJOS</w:t>
        </w:r>
        <w:r w:rsidR="00EF3402" w:rsidRPr="00493EBB">
          <w:rPr>
            <w:rFonts w:ascii="Times New Roman" w:hAnsi="Times New Roman"/>
            <w:noProof/>
            <w:webHidden/>
            <w:sz w:val="24"/>
            <w:szCs w:val="24"/>
          </w:rPr>
          <w:tab/>
        </w:r>
        <w:r w:rsidR="00EA23ED" w:rsidRPr="00493EBB">
          <w:rPr>
            <w:rFonts w:ascii="Times New Roman" w:hAnsi="Times New Roman"/>
            <w:noProof/>
            <w:webHidden/>
            <w:sz w:val="24"/>
            <w:szCs w:val="24"/>
          </w:rPr>
          <w:fldChar w:fldCharType="begin"/>
        </w:r>
        <w:r w:rsidR="00EF3402" w:rsidRPr="00493EBB">
          <w:rPr>
            <w:rFonts w:ascii="Times New Roman" w:hAnsi="Times New Roman"/>
            <w:noProof/>
            <w:webHidden/>
            <w:sz w:val="24"/>
            <w:szCs w:val="24"/>
          </w:rPr>
          <w:instrText xml:space="preserve"> PAGEREF _Toc58936313 \h </w:instrText>
        </w:r>
        <w:r w:rsidR="00EA23ED" w:rsidRPr="00493EBB">
          <w:rPr>
            <w:rFonts w:ascii="Times New Roman" w:hAnsi="Times New Roman"/>
            <w:noProof/>
            <w:webHidden/>
            <w:sz w:val="24"/>
            <w:szCs w:val="24"/>
          </w:rPr>
        </w:r>
        <w:r w:rsidR="00EA23ED" w:rsidRPr="00493EBB">
          <w:rPr>
            <w:rFonts w:ascii="Times New Roman" w:hAnsi="Times New Roman"/>
            <w:noProof/>
            <w:webHidden/>
            <w:sz w:val="24"/>
            <w:szCs w:val="24"/>
          </w:rPr>
          <w:fldChar w:fldCharType="separate"/>
        </w:r>
        <w:r w:rsidR="00EF3402">
          <w:rPr>
            <w:rFonts w:ascii="Times New Roman" w:hAnsi="Times New Roman"/>
            <w:noProof/>
            <w:webHidden/>
            <w:sz w:val="24"/>
            <w:szCs w:val="24"/>
          </w:rPr>
          <w:t>13</w:t>
        </w:r>
        <w:r w:rsidR="00EA23ED" w:rsidRPr="00493EBB">
          <w:rPr>
            <w:rFonts w:ascii="Times New Roman" w:hAnsi="Times New Roman"/>
            <w:noProof/>
            <w:webHidden/>
            <w:sz w:val="24"/>
            <w:szCs w:val="24"/>
          </w:rPr>
          <w:fldChar w:fldCharType="end"/>
        </w:r>
      </w:hyperlink>
    </w:p>
    <w:p w:rsidR="00EF3402" w:rsidRPr="00493EBB" w:rsidRDefault="00180A9A" w:rsidP="00EF3402">
      <w:pPr>
        <w:pStyle w:val="Turinys1"/>
        <w:tabs>
          <w:tab w:val="left" w:pos="440"/>
          <w:tab w:val="right" w:leader="dot" w:pos="9628"/>
        </w:tabs>
        <w:rPr>
          <w:rFonts w:ascii="Times New Roman" w:hAnsi="Times New Roman"/>
          <w:noProof/>
          <w:sz w:val="24"/>
          <w:szCs w:val="24"/>
        </w:rPr>
      </w:pPr>
      <w:hyperlink w:anchor="_Toc58936314" w:history="1">
        <w:r w:rsidR="00EF3402" w:rsidRPr="00493EBB">
          <w:rPr>
            <w:rStyle w:val="Hipersaitas"/>
            <w:rFonts w:ascii="Times New Roman" w:hAnsi="Times New Roman"/>
          </w:rPr>
          <w:t>5.</w:t>
        </w:r>
        <w:r w:rsidR="00EF3402" w:rsidRPr="00493EBB">
          <w:rPr>
            <w:rFonts w:ascii="Times New Roman" w:hAnsi="Times New Roman"/>
            <w:noProof/>
            <w:sz w:val="24"/>
            <w:szCs w:val="24"/>
          </w:rPr>
          <w:tab/>
        </w:r>
        <w:r w:rsidR="00EF3402" w:rsidRPr="00493EBB">
          <w:rPr>
            <w:rStyle w:val="Hipersaitas"/>
            <w:rFonts w:ascii="Times New Roman" w:hAnsi="Times New Roman"/>
          </w:rPr>
          <w:t>IŠVADOS</w:t>
        </w:r>
        <w:r w:rsidR="00EF3402" w:rsidRPr="00493EBB">
          <w:rPr>
            <w:rFonts w:ascii="Times New Roman" w:hAnsi="Times New Roman"/>
            <w:noProof/>
            <w:webHidden/>
            <w:sz w:val="24"/>
            <w:szCs w:val="24"/>
          </w:rPr>
          <w:tab/>
        </w:r>
        <w:r w:rsidR="00EA23ED" w:rsidRPr="00493EBB">
          <w:rPr>
            <w:rFonts w:ascii="Times New Roman" w:hAnsi="Times New Roman"/>
            <w:noProof/>
            <w:webHidden/>
            <w:sz w:val="24"/>
            <w:szCs w:val="24"/>
          </w:rPr>
          <w:fldChar w:fldCharType="begin"/>
        </w:r>
        <w:r w:rsidR="00EF3402" w:rsidRPr="00493EBB">
          <w:rPr>
            <w:rFonts w:ascii="Times New Roman" w:hAnsi="Times New Roman"/>
            <w:noProof/>
            <w:webHidden/>
            <w:sz w:val="24"/>
            <w:szCs w:val="24"/>
          </w:rPr>
          <w:instrText xml:space="preserve"> PAGEREF _Toc58936314 \h </w:instrText>
        </w:r>
        <w:r w:rsidR="00EA23ED" w:rsidRPr="00493EBB">
          <w:rPr>
            <w:rFonts w:ascii="Times New Roman" w:hAnsi="Times New Roman"/>
            <w:noProof/>
            <w:webHidden/>
            <w:sz w:val="24"/>
            <w:szCs w:val="24"/>
          </w:rPr>
        </w:r>
        <w:r w:rsidR="00EA23ED" w:rsidRPr="00493EBB">
          <w:rPr>
            <w:rFonts w:ascii="Times New Roman" w:hAnsi="Times New Roman"/>
            <w:noProof/>
            <w:webHidden/>
            <w:sz w:val="24"/>
            <w:szCs w:val="24"/>
          </w:rPr>
          <w:fldChar w:fldCharType="separate"/>
        </w:r>
        <w:r w:rsidR="00EF3402">
          <w:rPr>
            <w:rFonts w:ascii="Times New Roman" w:hAnsi="Times New Roman"/>
            <w:noProof/>
            <w:webHidden/>
            <w:sz w:val="24"/>
            <w:szCs w:val="24"/>
          </w:rPr>
          <w:t>15</w:t>
        </w:r>
        <w:r w:rsidR="00EA23ED" w:rsidRPr="00493EBB">
          <w:rPr>
            <w:rFonts w:ascii="Times New Roman" w:hAnsi="Times New Roman"/>
            <w:noProof/>
            <w:webHidden/>
            <w:sz w:val="24"/>
            <w:szCs w:val="24"/>
          </w:rPr>
          <w:fldChar w:fldCharType="end"/>
        </w:r>
      </w:hyperlink>
    </w:p>
    <w:p w:rsidR="00EF3402" w:rsidRPr="00493EBB" w:rsidRDefault="00180A9A" w:rsidP="00EF3402">
      <w:pPr>
        <w:pStyle w:val="Turinys1"/>
        <w:tabs>
          <w:tab w:val="left" w:pos="440"/>
          <w:tab w:val="right" w:leader="dot" w:pos="9628"/>
        </w:tabs>
        <w:rPr>
          <w:rFonts w:ascii="Times New Roman" w:hAnsi="Times New Roman"/>
          <w:noProof/>
          <w:sz w:val="24"/>
          <w:szCs w:val="24"/>
        </w:rPr>
      </w:pPr>
      <w:hyperlink w:anchor="_Toc58936315" w:history="1">
        <w:r w:rsidR="00EF3402" w:rsidRPr="00493EBB">
          <w:rPr>
            <w:rStyle w:val="Hipersaitas"/>
            <w:rFonts w:ascii="Times New Roman" w:hAnsi="Times New Roman"/>
          </w:rPr>
          <w:t>6.</w:t>
        </w:r>
        <w:r w:rsidR="00EF3402" w:rsidRPr="00493EBB">
          <w:rPr>
            <w:rFonts w:ascii="Times New Roman" w:hAnsi="Times New Roman"/>
            <w:noProof/>
            <w:sz w:val="24"/>
            <w:szCs w:val="24"/>
          </w:rPr>
          <w:tab/>
        </w:r>
        <w:r w:rsidR="00EF3402" w:rsidRPr="00493EBB">
          <w:rPr>
            <w:rStyle w:val="Hipersaitas"/>
            <w:rFonts w:ascii="Times New Roman" w:hAnsi="Times New Roman"/>
          </w:rPr>
          <w:t>REKOMENDACIJOS</w:t>
        </w:r>
        <w:r w:rsidR="00EF3402" w:rsidRPr="00493EBB">
          <w:rPr>
            <w:rFonts w:ascii="Times New Roman" w:hAnsi="Times New Roman"/>
            <w:noProof/>
            <w:webHidden/>
            <w:sz w:val="24"/>
            <w:szCs w:val="24"/>
          </w:rPr>
          <w:tab/>
        </w:r>
        <w:r w:rsidR="00EA23ED" w:rsidRPr="00493EBB">
          <w:rPr>
            <w:rFonts w:ascii="Times New Roman" w:hAnsi="Times New Roman"/>
            <w:noProof/>
            <w:webHidden/>
            <w:sz w:val="24"/>
            <w:szCs w:val="24"/>
          </w:rPr>
          <w:fldChar w:fldCharType="begin"/>
        </w:r>
        <w:r w:rsidR="00EF3402" w:rsidRPr="00493EBB">
          <w:rPr>
            <w:rFonts w:ascii="Times New Roman" w:hAnsi="Times New Roman"/>
            <w:noProof/>
            <w:webHidden/>
            <w:sz w:val="24"/>
            <w:szCs w:val="24"/>
          </w:rPr>
          <w:instrText xml:space="preserve"> PAGEREF _Toc58936315 \h </w:instrText>
        </w:r>
        <w:r w:rsidR="00EA23ED" w:rsidRPr="00493EBB">
          <w:rPr>
            <w:rFonts w:ascii="Times New Roman" w:hAnsi="Times New Roman"/>
            <w:noProof/>
            <w:webHidden/>
            <w:sz w:val="24"/>
            <w:szCs w:val="24"/>
          </w:rPr>
        </w:r>
        <w:r w:rsidR="00EA23ED" w:rsidRPr="00493EBB">
          <w:rPr>
            <w:rFonts w:ascii="Times New Roman" w:hAnsi="Times New Roman"/>
            <w:noProof/>
            <w:webHidden/>
            <w:sz w:val="24"/>
            <w:szCs w:val="24"/>
          </w:rPr>
          <w:fldChar w:fldCharType="separate"/>
        </w:r>
        <w:r w:rsidR="00EF3402">
          <w:rPr>
            <w:rFonts w:ascii="Times New Roman" w:hAnsi="Times New Roman"/>
            <w:noProof/>
            <w:webHidden/>
            <w:sz w:val="24"/>
            <w:szCs w:val="24"/>
          </w:rPr>
          <w:t>16</w:t>
        </w:r>
        <w:r w:rsidR="00EA23ED" w:rsidRPr="00493EBB">
          <w:rPr>
            <w:rFonts w:ascii="Times New Roman" w:hAnsi="Times New Roman"/>
            <w:noProof/>
            <w:webHidden/>
            <w:sz w:val="24"/>
            <w:szCs w:val="24"/>
          </w:rPr>
          <w:fldChar w:fldCharType="end"/>
        </w:r>
      </w:hyperlink>
    </w:p>
    <w:p w:rsidR="00EF3402" w:rsidRDefault="00EA23ED" w:rsidP="00EF3402">
      <w:r w:rsidRPr="00493EBB">
        <w:rPr>
          <w:b/>
          <w:bCs/>
        </w:rPr>
        <w:fldChar w:fldCharType="end"/>
      </w:r>
    </w:p>
    <w:p w:rsidR="00EF3402" w:rsidRPr="002E4150" w:rsidRDefault="00EA23ED" w:rsidP="00EF3402">
      <w:pPr>
        <w:pStyle w:val="Turinys3"/>
        <w:tabs>
          <w:tab w:val="left" w:pos="880"/>
          <w:tab w:val="right" w:leader="dot" w:pos="9628"/>
        </w:tabs>
        <w:ind w:left="0"/>
        <w:rPr>
          <w:rFonts w:ascii="Times New Roman" w:hAnsi="Times New Roman"/>
          <w:noProof/>
          <w:sz w:val="24"/>
          <w:szCs w:val="24"/>
        </w:rPr>
      </w:pPr>
      <w:r w:rsidRPr="002E4150">
        <w:rPr>
          <w:rFonts w:ascii="Times New Roman" w:hAnsi="Times New Roman"/>
          <w:sz w:val="24"/>
          <w:szCs w:val="24"/>
        </w:rPr>
        <w:fldChar w:fldCharType="begin"/>
      </w:r>
      <w:r w:rsidR="00EF3402" w:rsidRPr="002E4150">
        <w:rPr>
          <w:rFonts w:ascii="Times New Roman" w:hAnsi="Times New Roman"/>
          <w:sz w:val="24"/>
          <w:szCs w:val="24"/>
        </w:rPr>
        <w:instrText xml:space="preserve"> TOC \o "1-3" \h \z \u </w:instrText>
      </w:r>
      <w:r w:rsidRPr="002E4150">
        <w:rPr>
          <w:rFonts w:ascii="Times New Roman" w:hAnsi="Times New Roman"/>
          <w:sz w:val="24"/>
          <w:szCs w:val="24"/>
        </w:rPr>
        <w:fldChar w:fldCharType="separate"/>
      </w:r>
    </w:p>
    <w:p w:rsidR="00EF3402" w:rsidRDefault="00EA23ED" w:rsidP="00EF3402">
      <w:pPr>
        <w:rPr>
          <w:b/>
          <w:bCs/>
          <w:lang w:val="ru-RU"/>
        </w:rPr>
      </w:pPr>
      <w:r w:rsidRPr="002E4150">
        <w:rPr>
          <w:b/>
          <w:bCs/>
          <w:lang w:val="ru-RU"/>
        </w:rPr>
        <w:fldChar w:fldCharType="end"/>
      </w:r>
    </w:p>
    <w:p w:rsidR="00EF3402" w:rsidRPr="002E4150" w:rsidRDefault="00EF3402" w:rsidP="00EF3402"/>
    <w:p w:rsidR="00EF3402" w:rsidRPr="00DE68CB" w:rsidRDefault="00EF3402" w:rsidP="00EF3402">
      <w:pPr>
        <w:pStyle w:val="Antrat1"/>
        <w:rPr>
          <w:lang w:val="ru-RU" w:eastAsia="lt-LT"/>
        </w:rPr>
      </w:pPr>
    </w:p>
    <w:p w:rsidR="00EF3402" w:rsidRPr="00DE68CB" w:rsidRDefault="00EF3402" w:rsidP="00EF3402">
      <w:pPr>
        <w:rPr>
          <w:lang w:eastAsia="lt-LT"/>
        </w:rPr>
      </w:pPr>
    </w:p>
    <w:p w:rsidR="00EF3402" w:rsidRPr="00DE68CB" w:rsidRDefault="00EF3402" w:rsidP="00EF3402">
      <w:pPr>
        <w:rPr>
          <w:lang w:eastAsia="lt-LT"/>
        </w:rPr>
      </w:pPr>
    </w:p>
    <w:p w:rsidR="00EF3402" w:rsidRPr="00DE68CB" w:rsidRDefault="00EF3402" w:rsidP="00EF3402">
      <w:pPr>
        <w:jc w:val="center"/>
        <w:rPr>
          <w:lang w:val="ru-RU"/>
        </w:rPr>
      </w:pPr>
    </w:p>
    <w:p w:rsidR="00EF3402" w:rsidRPr="00DE68CB" w:rsidRDefault="00EF3402" w:rsidP="00EF3402">
      <w:pPr>
        <w:jc w:val="center"/>
        <w:rPr>
          <w:color w:val="000000"/>
          <w:sz w:val="44"/>
          <w:szCs w:val="44"/>
          <w:lang w:val="ru-RU"/>
        </w:rPr>
      </w:pPr>
    </w:p>
    <w:p w:rsidR="00EF3402" w:rsidRPr="00DE68CB" w:rsidRDefault="00EF3402" w:rsidP="00EF3402">
      <w:pPr>
        <w:jc w:val="center"/>
        <w:rPr>
          <w:color w:val="000000"/>
          <w:sz w:val="44"/>
          <w:szCs w:val="44"/>
          <w:lang w:val="ru-RU"/>
        </w:rPr>
      </w:pPr>
    </w:p>
    <w:p w:rsidR="00EF3402" w:rsidRPr="00DE68CB" w:rsidRDefault="00EF3402" w:rsidP="00EF3402">
      <w:pPr>
        <w:jc w:val="both"/>
        <w:rPr>
          <w:lang w:val="ru-RU"/>
        </w:rPr>
      </w:pPr>
    </w:p>
    <w:p w:rsidR="00EF3402" w:rsidRPr="00DE68CB" w:rsidRDefault="00EF3402" w:rsidP="00EF3402">
      <w:pPr>
        <w:jc w:val="both"/>
        <w:rPr>
          <w:lang w:val="ru-RU"/>
        </w:rPr>
      </w:pPr>
    </w:p>
    <w:p w:rsidR="00EF3402" w:rsidRPr="002E4150" w:rsidRDefault="00EF3402" w:rsidP="00EF3402">
      <w:pPr>
        <w:pStyle w:val="Antrat3"/>
        <w:numPr>
          <w:ilvl w:val="0"/>
          <w:numId w:val="33"/>
        </w:numPr>
        <w:spacing w:line="276" w:lineRule="auto"/>
        <w:rPr>
          <w:rFonts w:ascii="Times New Roman" w:hAnsi="Times New Roman"/>
          <w:color w:val="000000"/>
          <w:sz w:val="24"/>
          <w:szCs w:val="24"/>
          <w:lang w:val="ru-RU"/>
        </w:rPr>
      </w:pPr>
      <w:r>
        <w:rPr>
          <w:lang w:val="ru-RU"/>
        </w:rPr>
        <w:br w:type="page"/>
      </w:r>
      <w:bookmarkStart w:id="1" w:name="_Toc58762844"/>
      <w:bookmarkStart w:id="2" w:name="_Toc58762888"/>
      <w:bookmarkStart w:id="3" w:name="_Toc58762897"/>
      <w:bookmarkStart w:id="4" w:name="_Toc58936307"/>
      <w:r w:rsidRPr="002E4150">
        <w:rPr>
          <w:rFonts w:ascii="Times New Roman" w:hAnsi="Times New Roman"/>
          <w:sz w:val="24"/>
          <w:szCs w:val="24"/>
          <w:lang w:val="ru-RU"/>
        </w:rPr>
        <w:lastRenderedPageBreak/>
        <w:t>Į</w:t>
      </w:r>
      <w:r w:rsidRPr="002E4150">
        <w:rPr>
          <w:rFonts w:ascii="Times New Roman" w:hAnsi="Times New Roman"/>
          <w:sz w:val="24"/>
          <w:szCs w:val="24"/>
        </w:rPr>
        <w:t>VADAS</w:t>
      </w:r>
      <w:bookmarkEnd w:id="1"/>
      <w:bookmarkEnd w:id="2"/>
      <w:bookmarkEnd w:id="3"/>
      <w:bookmarkEnd w:id="4"/>
    </w:p>
    <w:p w:rsidR="00EF3402" w:rsidRPr="00DE68CB" w:rsidRDefault="00EF3402" w:rsidP="00EF3402">
      <w:pPr>
        <w:spacing w:line="360" w:lineRule="auto"/>
        <w:jc w:val="both"/>
        <w:rPr>
          <w:color w:val="000000"/>
          <w:lang w:val="ru-RU"/>
        </w:rPr>
      </w:pPr>
      <w:r w:rsidRPr="00DE68CB">
        <w:rPr>
          <w:lang w:val="ru-RU"/>
        </w:rPr>
        <w:tab/>
      </w:r>
    </w:p>
    <w:p w:rsidR="00EF3402" w:rsidRPr="0067499B" w:rsidRDefault="00EF3402" w:rsidP="00EF3402">
      <w:pPr>
        <w:spacing w:line="360" w:lineRule="auto"/>
        <w:ind w:firstLine="1296"/>
        <w:jc w:val="both"/>
      </w:pPr>
      <w:r w:rsidRPr="0067499B">
        <w:t>Visuomen</w:t>
      </w:r>
      <w:r w:rsidRPr="002E4150">
        <w:rPr>
          <w:lang w:val="ru-RU"/>
        </w:rPr>
        <w:t>ė</w:t>
      </w:r>
      <w:r w:rsidRPr="0067499B">
        <w:t>s</w:t>
      </w:r>
      <w:r w:rsidRPr="002E4150">
        <w:rPr>
          <w:lang w:val="ru-RU"/>
        </w:rPr>
        <w:t xml:space="preserve"> </w:t>
      </w:r>
      <w:r w:rsidRPr="0067499B">
        <w:t>sveikatos</w:t>
      </w:r>
      <w:r w:rsidRPr="002E4150">
        <w:rPr>
          <w:lang w:val="ru-RU"/>
        </w:rPr>
        <w:t xml:space="preserve"> </w:t>
      </w:r>
      <w:r w:rsidRPr="0067499B">
        <w:t>steb</w:t>
      </w:r>
      <w:r w:rsidRPr="002E4150">
        <w:rPr>
          <w:lang w:val="ru-RU"/>
        </w:rPr>
        <w:t>ė</w:t>
      </w:r>
      <w:r w:rsidRPr="0067499B">
        <w:t>sena</w:t>
      </w:r>
      <w:r w:rsidRPr="002E4150">
        <w:rPr>
          <w:lang w:val="ru-RU"/>
        </w:rPr>
        <w:t xml:space="preserve"> Š</w:t>
      </w:r>
      <w:r w:rsidRPr="0067499B">
        <w:t>al</w:t>
      </w:r>
      <w:r w:rsidRPr="002E4150">
        <w:rPr>
          <w:lang w:val="ru-RU"/>
        </w:rPr>
        <w:t>č</w:t>
      </w:r>
      <w:r w:rsidRPr="0067499B">
        <w:t>inink</w:t>
      </w:r>
      <w:r w:rsidRPr="002E4150">
        <w:rPr>
          <w:lang w:val="ru-RU"/>
        </w:rPr>
        <w:t xml:space="preserve">ų </w:t>
      </w:r>
      <w:r w:rsidRPr="0067499B">
        <w:t>r</w:t>
      </w:r>
      <w:r w:rsidRPr="002E4150">
        <w:rPr>
          <w:lang w:val="ru-RU"/>
        </w:rPr>
        <w:t xml:space="preserve">. </w:t>
      </w:r>
      <w:r w:rsidRPr="0067499B">
        <w:t>savivaldyb</w:t>
      </w:r>
      <w:r w:rsidRPr="002E4150">
        <w:rPr>
          <w:lang w:val="ru-RU"/>
        </w:rPr>
        <w:t>ė</w:t>
      </w:r>
      <w:r w:rsidRPr="0067499B">
        <w:t>je</w:t>
      </w:r>
      <w:r w:rsidRPr="002E4150">
        <w:rPr>
          <w:lang w:val="ru-RU"/>
        </w:rPr>
        <w:t xml:space="preserve"> </w:t>
      </w:r>
      <w:r w:rsidRPr="0067499B">
        <w:t>vykdoma</w:t>
      </w:r>
      <w:r w:rsidRPr="002E4150">
        <w:rPr>
          <w:lang w:val="ru-RU"/>
        </w:rPr>
        <w:t xml:space="preserve"> </w:t>
      </w:r>
      <w:r w:rsidRPr="0067499B">
        <w:t>remiantis</w:t>
      </w:r>
      <w:r w:rsidRPr="002E4150">
        <w:rPr>
          <w:lang w:val="ru-RU"/>
        </w:rPr>
        <w:t xml:space="preserve"> </w:t>
      </w:r>
      <w:r w:rsidRPr="0067499B">
        <w:t>Bendraisiais</w:t>
      </w:r>
      <w:r w:rsidRPr="002E4150">
        <w:rPr>
          <w:lang w:val="ru-RU"/>
        </w:rPr>
        <w:t xml:space="preserve"> </w:t>
      </w:r>
      <w:r w:rsidRPr="0067499B">
        <w:t>savivaldybi</w:t>
      </w:r>
      <w:r w:rsidRPr="002E4150">
        <w:rPr>
          <w:lang w:val="ru-RU"/>
        </w:rPr>
        <w:t xml:space="preserve">ų </w:t>
      </w:r>
      <w:r w:rsidRPr="0067499B">
        <w:t>visuomen</w:t>
      </w:r>
      <w:r w:rsidRPr="002E4150">
        <w:rPr>
          <w:lang w:val="ru-RU"/>
        </w:rPr>
        <w:t>ė</w:t>
      </w:r>
      <w:r w:rsidRPr="0067499B">
        <w:t>s</w:t>
      </w:r>
      <w:r w:rsidRPr="002E4150">
        <w:rPr>
          <w:lang w:val="ru-RU"/>
        </w:rPr>
        <w:t xml:space="preserve"> </w:t>
      </w:r>
      <w:r w:rsidRPr="0067499B">
        <w:t>sveikatos</w:t>
      </w:r>
      <w:r w:rsidRPr="002E4150">
        <w:rPr>
          <w:lang w:val="ru-RU"/>
        </w:rPr>
        <w:t xml:space="preserve"> </w:t>
      </w:r>
      <w:r w:rsidRPr="0067499B">
        <w:t>steb</w:t>
      </w:r>
      <w:r w:rsidRPr="008034A8">
        <w:rPr>
          <w:lang w:val="ru-RU"/>
        </w:rPr>
        <w:t>ė</w:t>
      </w:r>
      <w:r w:rsidRPr="0067499B">
        <w:t>senos</w:t>
      </w:r>
      <w:r w:rsidRPr="008034A8">
        <w:rPr>
          <w:lang w:val="ru-RU"/>
        </w:rPr>
        <w:t xml:space="preserve"> </w:t>
      </w:r>
      <w:r w:rsidRPr="0067499B">
        <w:t>nuostatais</w:t>
      </w:r>
      <w:r w:rsidRPr="008034A8">
        <w:rPr>
          <w:lang w:val="ru-RU"/>
        </w:rPr>
        <w:t xml:space="preserve">, </w:t>
      </w:r>
      <w:r w:rsidRPr="0067499B">
        <w:t>patvirtintais</w:t>
      </w:r>
      <w:r w:rsidRPr="008034A8">
        <w:rPr>
          <w:lang w:val="ru-RU"/>
        </w:rPr>
        <w:t xml:space="preserve"> </w:t>
      </w:r>
      <w:r w:rsidRPr="0067499B">
        <w:t>Lietuvos</w:t>
      </w:r>
      <w:r w:rsidRPr="008034A8">
        <w:rPr>
          <w:lang w:val="ru-RU"/>
        </w:rPr>
        <w:t xml:space="preserve"> </w:t>
      </w:r>
      <w:r w:rsidRPr="0067499B">
        <w:t>Respublikos</w:t>
      </w:r>
      <w:r w:rsidRPr="008034A8">
        <w:rPr>
          <w:lang w:val="ru-RU"/>
        </w:rPr>
        <w:t xml:space="preserve"> </w:t>
      </w:r>
      <w:r w:rsidRPr="0067499B">
        <w:t>sveikatos</w:t>
      </w:r>
      <w:r w:rsidRPr="008034A8">
        <w:rPr>
          <w:lang w:val="ru-RU"/>
        </w:rPr>
        <w:t xml:space="preserve"> </w:t>
      </w:r>
      <w:r w:rsidRPr="0067499B">
        <w:t>apsaugos</w:t>
      </w:r>
      <w:r w:rsidRPr="008034A8">
        <w:rPr>
          <w:lang w:val="ru-RU"/>
        </w:rPr>
        <w:t xml:space="preserve"> </w:t>
      </w:r>
      <w:r w:rsidRPr="0067499B">
        <w:t>ministro</w:t>
      </w:r>
      <w:r w:rsidRPr="008034A8">
        <w:rPr>
          <w:lang w:val="ru-RU"/>
        </w:rPr>
        <w:t xml:space="preserve"> 2003 </w:t>
      </w:r>
      <w:r w:rsidRPr="0067499B">
        <w:t>m</w:t>
      </w:r>
      <w:r w:rsidRPr="008034A8">
        <w:rPr>
          <w:lang w:val="ru-RU"/>
        </w:rPr>
        <w:t xml:space="preserve">. </w:t>
      </w:r>
      <w:r w:rsidRPr="0067499B">
        <w:t>rugpj</w:t>
      </w:r>
      <w:r w:rsidRPr="008034A8">
        <w:rPr>
          <w:lang w:val="ru-RU"/>
        </w:rPr>
        <w:t>ūč</w:t>
      </w:r>
      <w:r w:rsidRPr="0067499B">
        <w:t>io</w:t>
      </w:r>
      <w:r w:rsidRPr="008034A8">
        <w:rPr>
          <w:lang w:val="ru-RU"/>
        </w:rPr>
        <w:t xml:space="preserve"> 11 </w:t>
      </w:r>
      <w:r w:rsidRPr="0067499B">
        <w:t>d</w:t>
      </w:r>
      <w:r w:rsidRPr="008034A8">
        <w:rPr>
          <w:lang w:val="ru-RU"/>
        </w:rPr>
        <w:t>. į</w:t>
      </w:r>
      <w:r w:rsidRPr="0067499B">
        <w:t>sakymu</w:t>
      </w:r>
      <w:r w:rsidRPr="008034A8">
        <w:rPr>
          <w:lang w:val="ru-RU"/>
        </w:rPr>
        <w:t xml:space="preserve"> </w:t>
      </w:r>
      <w:r w:rsidRPr="0067499B">
        <w:t>Nr</w:t>
      </w:r>
      <w:r w:rsidRPr="008034A8">
        <w:rPr>
          <w:lang w:val="ru-RU"/>
        </w:rPr>
        <w:t xml:space="preserve">. </w:t>
      </w:r>
      <w:r w:rsidRPr="0067499B">
        <w:t>V</w:t>
      </w:r>
      <w:r w:rsidRPr="008034A8">
        <w:rPr>
          <w:lang w:val="ru-RU"/>
        </w:rPr>
        <w:t>-488 „</w:t>
      </w:r>
      <w:r w:rsidRPr="0067499B">
        <w:t>D</w:t>
      </w:r>
      <w:r w:rsidRPr="008034A8">
        <w:rPr>
          <w:lang w:val="ru-RU"/>
        </w:rPr>
        <w:t>ė</w:t>
      </w:r>
      <w:r w:rsidRPr="0067499B">
        <w:t>l</w:t>
      </w:r>
      <w:r w:rsidRPr="008034A8">
        <w:rPr>
          <w:lang w:val="ru-RU"/>
        </w:rPr>
        <w:t xml:space="preserve"> </w:t>
      </w:r>
      <w:r w:rsidRPr="0067499B">
        <w:t>Bendr</w:t>
      </w:r>
      <w:r w:rsidRPr="008034A8">
        <w:rPr>
          <w:lang w:val="ru-RU"/>
        </w:rPr>
        <w:t>ų</w:t>
      </w:r>
      <w:r w:rsidRPr="0067499B">
        <w:t>j</w:t>
      </w:r>
      <w:r w:rsidRPr="008034A8">
        <w:rPr>
          <w:lang w:val="ru-RU"/>
        </w:rPr>
        <w:t xml:space="preserve">ų </w:t>
      </w:r>
      <w:r w:rsidRPr="0067499B">
        <w:t>savivaldybi</w:t>
      </w:r>
      <w:r w:rsidRPr="008034A8">
        <w:rPr>
          <w:lang w:val="ru-RU"/>
        </w:rPr>
        <w:t xml:space="preserve">ų </w:t>
      </w:r>
      <w:r w:rsidRPr="0067499B">
        <w:t>visuomen</w:t>
      </w:r>
      <w:r w:rsidRPr="008034A8">
        <w:rPr>
          <w:lang w:val="ru-RU"/>
        </w:rPr>
        <w:t>ė</w:t>
      </w:r>
      <w:r w:rsidRPr="0067499B">
        <w:t>s</w:t>
      </w:r>
      <w:r w:rsidRPr="008034A8">
        <w:rPr>
          <w:lang w:val="ru-RU"/>
        </w:rPr>
        <w:t xml:space="preserve"> </w:t>
      </w:r>
      <w:r w:rsidRPr="0067499B">
        <w:t>sveikatos</w:t>
      </w:r>
      <w:r w:rsidRPr="008034A8">
        <w:rPr>
          <w:lang w:val="ru-RU"/>
        </w:rPr>
        <w:t xml:space="preserve"> </w:t>
      </w:r>
      <w:r w:rsidRPr="0067499B">
        <w:t>steb</w:t>
      </w:r>
      <w:r w:rsidRPr="008034A8">
        <w:rPr>
          <w:lang w:val="ru-RU"/>
        </w:rPr>
        <w:t>ė</w:t>
      </w:r>
      <w:r w:rsidRPr="0067499B">
        <w:t>senos</w:t>
      </w:r>
      <w:r w:rsidRPr="008034A8">
        <w:rPr>
          <w:lang w:val="ru-RU"/>
        </w:rPr>
        <w:t xml:space="preserve"> </w:t>
      </w:r>
      <w:r w:rsidRPr="0067499B">
        <w:t>nuostat</w:t>
      </w:r>
      <w:r w:rsidRPr="008034A8">
        <w:rPr>
          <w:lang w:val="ru-RU"/>
        </w:rPr>
        <w:t xml:space="preserve">ų </w:t>
      </w:r>
      <w:r w:rsidRPr="0067499B">
        <w:t>patvirtinimo</w:t>
      </w:r>
      <w:r w:rsidRPr="008034A8">
        <w:rPr>
          <w:lang w:val="ru-RU"/>
        </w:rPr>
        <w:t xml:space="preserve">“. </w:t>
      </w:r>
      <w:r w:rsidRPr="0067499B">
        <w:t>Pateikiami</w:t>
      </w:r>
      <w:r w:rsidRPr="008034A8">
        <w:rPr>
          <w:lang w:val="ru-RU"/>
        </w:rPr>
        <w:t xml:space="preserve"> </w:t>
      </w:r>
      <w:r w:rsidRPr="0067499B">
        <w:t>rodikliai</w:t>
      </w:r>
      <w:r w:rsidRPr="008034A8">
        <w:rPr>
          <w:lang w:val="ru-RU"/>
        </w:rPr>
        <w:t xml:space="preserve"> </w:t>
      </w:r>
      <w:r w:rsidRPr="0067499B">
        <w:t>atspindi</w:t>
      </w:r>
      <w:r w:rsidRPr="008034A8">
        <w:rPr>
          <w:lang w:val="ru-RU"/>
        </w:rPr>
        <w:t xml:space="preserve"> </w:t>
      </w:r>
      <w:r w:rsidRPr="0067499B">
        <w:t>kaip</w:t>
      </w:r>
      <w:r w:rsidRPr="008034A8">
        <w:rPr>
          <w:lang w:val="ru-RU"/>
        </w:rPr>
        <w:t xml:space="preserve"> į</w:t>
      </w:r>
      <w:r w:rsidRPr="0067499B">
        <w:t>gyvendinami</w:t>
      </w:r>
      <w:r w:rsidRPr="008034A8">
        <w:rPr>
          <w:lang w:val="ru-RU"/>
        </w:rPr>
        <w:t xml:space="preserve"> </w:t>
      </w:r>
      <w:r w:rsidRPr="0067499B">
        <w:t>Lietuvos</w:t>
      </w:r>
      <w:r w:rsidRPr="008034A8">
        <w:rPr>
          <w:lang w:val="ru-RU"/>
        </w:rPr>
        <w:t xml:space="preserve"> </w:t>
      </w:r>
      <w:r w:rsidRPr="0067499B">
        <w:t>sveikatos</w:t>
      </w:r>
      <w:r w:rsidRPr="008034A8">
        <w:rPr>
          <w:lang w:val="ru-RU"/>
        </w:rPr>
        <w:t xml:space="preserve"> 2014–2025 </w:t>
      </w:r>
      <w:r w:rsidRPr="0067499B">
        <w:t>m</w:t>
      </w:r>
      <w:r w:rsidRPr="008034A8">
        <w:rPr>
          <w:lang w:val="ru-RU"/>
        </w:rPr>
        <w:t xml:space="preserve">. </w:t>
      </w:r>
      <w:r w:rsidRPr="0067499B">
        <w:t>strategijos</w:t>
      </w:r>
      <w:r w:rsidRPr="008034A8">
        <w:rPr>
          <w:lang w:val="ru-RU"/>
        </w:rPr>
        <w:t xml:space="preserve"> (</w:t>
      </w:r>
      <w:r w:rsidRPr="0067499B">
        <w:t>LS</w:t>
      </w:r>
      <w:r>
        <w:t>S</w:t>
      </w:r>
      <w:r w:rsidRPr="008034A8">
        <w:rPr>
          <w:lang w:val="ru-RU"/>
        </w:rPr>
        <w:t xml:space="preserve">) </w:t>
      </w:r>
      <w:r>
        <w:t>tikslai</w:t>
      </w:r>
      <w:r w:rsidRPr="008034A8">
        <w:rPr>
          <w:lang w:val="ru-RU"/>
        </w:rPr>
        <w:t xml:space="preserve"> </w:t>
      </w:r>
      <w:r>
        <w:t>ir</w:t>
      </w:r>
      <w:r w:rsidRPr="008034A8">
        <w:rPr>
          <w:lang w:val="ru-RU"/>
        </w:rPr>
        <w:t xml:space="preserve"> </w:t>
      </w:r>
      <w:r>
        <w:t>j</w:t>
      </w:r>
      <w:r w:rsidRPr="008034A8">
        <w:rPr>
          <w:lang w:val="ru-RU"/>
        </w:rPr>
        <w:t xml:space="preserve">ų </w:t>
      </w:r>
      <w:r>
        <w:t>u</w:t>
      </w:r>
      <w:r w:rsidRPr="008034A8">
        <w:rPr>
          <w:lang w:val="ru-RU"/>
        </w:rPr>
        <w:t>ž</w:t>
      </w:r>
      <w:r>
        <w:t>daviniai</w:t>
      </w:r>
      <w:r w:rsidRPr="008034A8">
        <w:rPr>
          <w:lang w:val="ru-RU"/>
        </w:rPr>
        <w:t xml:space="preserve">. </w:t>
      </w:r>
      <w:r w:rsidRPr="0067499B">
        <w:t>Visuomen</w:t>
      </w:r>
      <w:r w:rsidRPr="008034A8">
        <w:rPr>
          <w:lang w:val="ru-RU"/>
        </w:rPr>
        <w:t>ė</w:t>
      </w:r>
      <w:r w:rsidRPr="0067499B">
        <w:t>s</w:t>
      </w:r>
      <w:r w:rsidRPr="008034A8">
        <w:rPr>
          <w:lang w:val="ru-RU"/>
        </w:rPr>
        <w:t xml:space="preserve"> </w:t>
      </w:r>
      <w:r w:rsidRPr="0067499B">
        <w:t>sveikatos</w:t>
      </w:r>
      <w:r w:rsidRPr="008034A8">
        <w:rPr>
          <w:lang w:val="ru-RU"/>
        </w:rPr>
        <w:t xml:space="preserve"> </w:t>
      </w:r>
      <w:r w:rsidRPr="0067499B">
        <w:t>steb</w:t>
      </w:r>
      <w:r w:rsidRPr="008034A8">
        <w:rPr>
          <w:lang w:val="ru-RU"/>
        </w:rPr>
        <w:t>ė</w:t>
      </w:r>
      <w:r w:rsidRPr="0067499B">
        <w:t>senos</w:t>
      </w:r>
      <w:r w:rsidRPr="008034A8">
        <w:rPr>
          <w:lang w:val="ru-RU"/>
        </w:rPr>
        <w:t xml:space="preserve"> </w:t>
      </w:r>
      <w:r w:rsidRPr="0067499B">
        <w:t>savivaldyb</w:t>
      </w:r>
      <w:r w:rsidRPr="008034A8">
        <w:rPr>
          <w:lang w:val="ru-RU"/>
        </w:rPr>
        <w:t>ė</w:t>
      </w:r>
      <w:r w:rsidRPr="0067499B">
        <w:t>je</w:t>
      </w:r>
      <w:r w:rsidRPr="008034A8">
        <w:rPr>
          <w:lang w:val="ru-RU"/>
        </w:rPr>
        <w:t xml:space="preserve"> </w:t>
      </w:r>
      <w:r w:rsidRPr="0067499B">
        <w:t>tikslas</w:t>
      </w:r>
      <w:r w:rsidRPr="008034A8">
        <w:rPr>
          <w:lang w:val="ru-RU"/>
        </w:rPr>
        <w:t xml:space="preserve"> – </w:t>
      </w:r>
      <w:r w:rsidRPr="0067499B">
        <w:t>nuolat</w:t>
      </w:r>
      <w:r w:rsidRPr="008034A8">
        <w:rPr>
          <w:lang w:val="ru-RU"/>
        </w:rPr>
        <w:t xml:space="preserve"> </w:t>
      </w:r>
      <w:r w:rsidRPr="0067499B">
        <w:t>rinkti</w:t>
      </w:r>
      <w:r w:rsidRPr="008034A8">
        <w:rPr>
          <w:lang w:val="ru-RU"/>
        </w:rPr>
        <w:t xml:space="preserve">, </w:t>
      </w:r>
      <w:r w:rsidRPr="0067499B">
        <w:t>analizuoti</w:t>
      </w:r>
      <w:r w:rsidRPr="008034A8">
        <w:rPr>
          <w:lang w:val="ru-RU"/>
        </w:rPr>
        <w:t xml:space="preserve"> </w:t>
      </w:r>
      <w:r w:rsidRPr="0067499B">
        <w:t>ir</w:t>
      </w:r>
      <w:r w:rsidRPr="008034A8">
        <w:rPr>
          <w:lang w:val="ru-RU"/>
        </w:rPr>
        <w:t xml:space="preserve"> </w:t>
      </w:r>
      <w:r w:rsidRPr="0067499B">
        <w:t>interpretuoti</w:t>
      </w:r>
      <w:r w:rsidRPr="008034A8">
        <w:rPr>
          <w:lang w:val="ru-RU"/>
        </w:rPr>
        <w:t xml:space="preserve"> </w:t>
      </w:r>
      <w:r w:rsidRPr="0067499B">
        <w:t>visuomen</w:t>
      </w:r>
      <w:r w:rsidRPr="008034A8">
        <w:rPr>
          <w:lang w:val="ru-RU"/>
        </w:rPr>
        <w:t>ė</w:t>
      </w:r>
      <w:r w:rsidRPr="0067499B">
        <w:t>s</w:t>
      </w:r>
      <w:r w:rsidRPr="008034A8">
        <w:rPr>
          <w:lang w:val="ru-RU"/>
        </w:rPr>
        <w:t xml:space="preserve"> </w:t>
      </w:r>
      <w:r w:rsidRPr="0067499B">
        <w:t>sveikat</w:t>
      </w:r>
      <w:r w:rsidRPr="008034A8">
        <w:rPr>
          <w:lang w:val="ru-RU"/>
        </w:rPr>
        <w:t xml:space="preserve">ą </w:t>
      </w:r>
      <w:r w:rsidRPr="0067499B">
        <w:t>apib</w:t>
      </w:r>
      <w:r w:rsidRPr="008034A8">
        <w:rPr>
          <w:lang w:val="ru-RU"/>
        </w:rPr>
        <w:t>ū</w:t>
      </w:r>
      <w:r w:rsidRPr="0067499B">
        <w:t>dinan</w:t>
      </w:r>
      <w:r w:rsidRPr="008034A8">
        <w:rPr>
          <w:lang w:val="ru-RU"/>
        </w:rPr>
        <w:t>č</w:t>
      </w:r>
      <w:r w:rsidRPr="0067499B">
        <w:t>ius</w:t>
      </w:r>
      <w:r w:rsidRPr="008034A8">
        <w:rPr>
          <w:lang w:val="ru-RU"/>
        </w:rPr>
        <w:t xml:space="preserve"> </w:t>
      </w:r>
      <w:r w:rsidRPr="0067499B">
        <w:t>rodiklius</w:t>
      </w:r>
      <w:r w:rsidRPr="008034A8">
        <w:rPr>
          <w:lang w:val="ru-RU"/>
        </w:rPr>
        <w:t xml:space="preserve"> </w:t>
      </w:r>
      <w:r w:rsidRPr="0067499B">
        <w:t>bei</w:t>
      </w:r>
      <w:r w:rsidRPr="008034A8">
        <w:rPr>
          <w:lang w:val="ru-RU"/>
        </w:rPr>
        <w:t xml:space="preserve"> </w:t>
      </w:r>
      <w:r w:rsidRPr="0067499B">
        <w:t>tinkamai</w:t>
      </w:r>
      <w:r w:rsidRPr="008034A8">
        <w:rPr>
          <w:lang w:val="ru-RU"/>
        </w:rPr>
        <w:t xml:space="preserve"> </w:t>
      </w:r>
      <w:r w:rsidRPr="0067499B">
        <w:t>informuoti</w:t>
      </w:r>
      <w:r w:rsidRPr="008034A8">
        <w:rPr>
          <w:lang w:val="ru-RU"/>
        </w:rPr>
        <w:t xml:space="preserve"> </w:t>
      </w:r>
      <w:r w:rsidRPr="0067499B">
        <w:t>savivaldyb</w:t>
      </w:r>
      <w:r w:rsidRPr="008034A8">
        <w:rPr>
          <w:lang w:val="ru-RU"/>
        </w:rPr>
        <w:t>ė</w:t>
      </w:r>
      <w:r w:rsidRPr="0067499B">
        <w:t>s</w:t>
      </w:r>
      <w:r w:rsidRPr="008034A8">
        <w:rPr>
          <w:lang w:val="ru-RU"/>
        </w:rPr>
        <w:t xml:space="preserve"> </w:t>
      </w:r>
      <w:r w:rsidRPr="0067499B">
        <w:t>politikus</w:t>
      </w:r>
      <w:r w:rsidRPr="008034A8">
        <w:rPr>
          <w:lang w:val="ru-RU"/>
        </w:rPr>
        <w:t xml:space="preserve">, </w:t>
      </w:r>
      <w:r w:rsidRPr="0067499B">
        <w:t>siekiant</w:t>
      </w:r>
      <w:r w:rsidRPr="008034A8">
        <w:rPr>
          <w:lang w:val="ru-RU"/>
        </w:rPr>
        <w:t xml:space="preserve"> </w:t>
      </w:r>
      <w:r w:rsidRPr="0067499B">
        <w:t>efektyvaus</w:t>
      </w:r>
      <w:r w:rsidRPr="008034A8">
        <w:rPr>
          <w:lang w:val="ru-RU"/>
        </w:rPr>
        <w:t xml:space="preserve"> </w:t>
      </w:r>
      <w:r w:rsidRPr="0067499B">
        <w:t>valstybini</w:t>
      </w:r>
      <w:r w:rsidRPr="008034A8">
        <w:rPr>
          <w:lang w:val="ru-RU"/>
        </w:rPr>
        <w:t>ų (</w:t>
      </w:r>
      <w:r w:rsidRPr="0067499B">
        <w:t>valstyb</w:t>
      </w:r>
      <w:r w:rsidRPr="008034A8">
        <w:rPr>
          <w:lang w:val="ru-RU"/>
        </w:rPr>
        <w:t>ė</w:t>
      </w:r>
      <w:r w:rsidRPr="0067499B">
        <w:t>s</w:t>
      </w:r>
      <w:r w:rsidRPr="008034A8">
        <w:rPr>
          <w:lang w:val="ru-RU"/>
        </w:rPr>
        <w:t xml:space="preserve"> </w:t>
      </w:r>
      <w:r w:rsidRPr="0067499B">
        <w:t>perduot</w:t>
      </w:r>
      <w:r w:rsidRPr="008034A8">
        <w:rPr>
          <w:lang w:val="ru-RU"/>
        </w:rPr>
        <w:t xml:space="preserve">ų </w:t>
      </w:r>
      <w:r w:rsidRPr="0067499B">
        <w:t>savivaldyb</w:t>
      </w:r>
      <w:r w:rsidRPr="008034A8">
        <w:rPr>
          <w:lang w:val="ru-RU"/>
        </w:rPr>
        <w:t>ė</w:t>
      </w:r>
      <w:r w:rsidRPr="0067499B">
        <w:t>ms</w:t>
      </w:r>
      <w:r w:rsidRPr="008034A8">
        <w:rPr>
          <w:lang w:val="ru-RU"/>
        </w:rPr>
        <w:t xml:space="preserve">) </w:t>
      </w:r>
      <w:r w:rsidRPr="0067499B">
        <w:t>bei</w:t>
      </w:r>
      <w:r w:rsidRPr="008034A8">
        <w:rPr>
          <w:lang w:val="ru-RU"/>
        </w:rPr>
        <w:t xml:space="preserve"> </w:t>
      </w:r>
      <w:r w:rsidRPr="0067499B">
        <w:t>savaranki</w:t>
      </w:r>
      <w:r w:rsidRPr="008034A8">
        <w:rPr>
          <w:lang w:val="ru-RU"/>
        </w:rPr>
        <w:t>š</w:t>
      </w:r>
      <w:r w:rsidRPr="0067499B">
        <w:t>k</w:t>
      </w:r>
      <w:r w:rsidRPr="008034A8">
        <w:rPr>
          <w:lang w:val="ru-RU"/>
        </w:rPr>
        <w:t xml:space="preserve">ų </w:t>
      </w:r>
      <w:r w:rsidRPr="0067499B">
        <w:t>visuomen</w:t>
      </w:r>
      <w:r w:rsidRPr="008034A8">
        <w:rPr>
          <w:lang w:val="ru-RU"/>
        </w:rPr>
        <w:t>ė</w:t>
      </w:r>
      <w:r w:rsidRPr="0067499B">
        <w:t>s</w:t>
      </w:r>
      <w:r w:rsidRPr="008034A8">
        <w:rPr>
          <w:lang w:val="ru-RU"/>
        </w:rPr>
        <w:t xml:space="preserve"> </w:t>
      </w:r>
      <w:r w:rsidRPr="0067499B">
        <w:t>sveikatos</w:t>
      </w:r>
      <w:r w:rsidRPr="008034A8">
        <w:rPr>
          <w:lang w:val="ru-RU"/>
        </w:rPr>
        <w:t xml:space="preserve"> </w:t>
      </w:r>
      <w:r w:rsidRPr="0067499B">
        <w:t>prie</w:t>
      </w:r>
      <w:r w:rsidRPr="008034A8">
        <w:rPr>
          <w:lang w:val="ru-RU"/>
        </w:rPr>
        <w:t>ž</w:t>
      </w:r>
      <w:r w:rsidRPr="0067499B">
        <w:t>i</w:t>
      </w:r>
      <w:r w:rsidRPr="008034A8">
        <w:rPr>
          <w:lang w:val="ru-RU"/>
        </w:rPr>
        <w:t>ū</w:t>
      </w:r>
      <w:r w:rsidRPr="0067499B">
        <w:t>ros</w:t>
      </w:r>
      <w:r w:rsidRPr="008034A8">
        <w:rPr>
          <w:lang w:val="ru-RU"/>
        </w:rPr>
        <w:t xml:space="preserve"> </w:t>
      </w:r>
      <w:r w:rsidRPr="0067499B">
        <w:t>funkcij</w:t>
      </w:r>
      <w:r w:rsidRPr="008034A8">
        <w:rPr>
          <w:lang w:val="ru-RU"/>
        </w:rPr>
        <w:t>ų į</w:t>
      </w:r>
      <w:r w:rsidRPr="0067499B">
        <w:t>gyvendinimo</w:t>
      </w:r>
      <w:r w:rsidRPr="008034A8">
        <w:rPr>
          <w:lang w:val="ru-RU"/>
        </w:rPr>
        <w:t xml:space="preserve"> </w:t>
      </w:r>
      <w:r w:rsidRPr="0067499B">
        <w:t>savivaldyb</w:t>
      </w:r>
      <w:r w:rsidRPr="008034A8">
        <w:rPr>
          <w:lang w:val="ru-RU"/>
        </w:rPr>
        <w:t>ė</w:t>
      </w:r>
      <w:r w:rsidRPr="0067499B">
        <w:t>s</w:t>
      </w:r>
      <w:r w:rsidRPr="008034A8">
        <w:rPr>
          <w:lang w:val="ru-RU"/>
        </w:rPr>
        <w:t xml:space="preserve"> </w:t>
      </w:r>
      <w:r w:rsidRPr="0067499B">
        <w:t>teritorijoje</w:t>
      </w:r>
      <w:r w:rsidRPr="008034A8">
        <w:rPr>
          <w:lang w:val="ru-RU"/>
        </w:rPr>
        <w:t xml:space="preserve">. </w:t>
      </w:r>
      <w:r w:rsidRPr="0067499B">
        <w:t>Savivaldyb</w:t>
      </w:r>
      <w:r w:rsidRPr="008034A8">
        <w:rPr>
          <w:lang w:val="ru-RU"/>
        </w:rPr>
        <w:t>ė</w:t>
      </w:r>
      <w:r w:rsidRPr="0067499B">
        <w:t>s</w:t>
      </w:r>
      <w:r w:rsidRPr="008034A8">
        <w:rPr>
          <w:lang w:val="ru-RU"/>
        </w:rPr>
        <w:t xml:space="preserve"> </w:t>
      </w:r>
      <w:r w:rsidRPr="0067499B">
        <w:t>visuomen</w:t>
      </w:r>
      <w:r w:rsidRPr="008034A8">
        <w:rPr>
          <w:lang w:val="ru-RU"/>
        </w:rPr>
        <w:t>ė</w:t>
      </w:r>
      <w:r w:rsidRPr="0067499B">
        <w:t>s</w:t>
      </w:r>
      <w:r w:rsidRPr="008034A8">
        <w:rPr>
          <w:lang w:val="ru-RU"/>
        </w:rPr>
        <w:t xml:space="preserve"> </w:t>
      </w:r>
      <w:r w:rsidRPr="0067499B">
        <w:t>sveikatos</w:t>
      </w:r>
      <w:r w:rsidRPr="008034A8">
        <w:rPr>
          <w:lang w:val="ru-RU"/>
        </w:rPr>
        <w:t xml:space="preserve"> </w:t>
      </w:r>
      <w:r w:rsidRPr="0067499B">
        <w:t>steb</w:t>
      </w:r>
      <w:r w:rsidRPr="008034A8">
        <w:rPr>
          <w:lang w:val="ru-RU"/>
        </w:rPr>
        <w:t>ė</w:t>
      </w:r>
      <w:r w:rsidRPr="0067499B">
        <w:t>senos</w:t>
      </w:r>
      <w:r w:rsidRPr="008034A8">
        <w:rPr>
          <w:lang w:val="ru-RU"/>
        </w:rPr>
        <w:t xml:space="preserve"> </w:t>
      </w:r>
      <w:r w:rsidRPr="0067499B">
        <w:t>ataskaitos</w:t>
      </w:r>
      <w:r w:rsidRPr="008034A8">
        <w:rPr>
          <w:lang w:val="ru-RU"/>
        </w:rPr>
        <w:t xml:space="preserve"> </w:t>
      </w:r>
      <w:r w:rsidRPr="0067499B">
        <w:t>tikslas</w:t>
      </w:r>
      <w:r w:rsidRPr="008034A8">
        <w:rPr>
          <w:lang w:val="ru-RU"/>
        </w:rPr>
        <w:t xml:space="preserve"> – </w:t>
      </w:r>
      <w:r w:rsidRPr="0067499B">
        <w:t>pateikti</w:t>
      </w:r>
      <w:r w:rsidRPr="008034A8">
        <w:rPr>
          <w:lang w:val="ru-RU"/>
        </w:rPr>
        <w:t xml:space="preserve"> </w:t>
      </w:r>
      <w:r w:rsidRPr="0067499B">
        <w:t>pagrindinius</w:t>
      </w:r>
      <w:r w:rsidRPr="008034A8">
        <w:rPr>
          <w:lang w:val="ru-RU"/>
        </w:rPr>
        <w:t xml:space="preserve"> </w:t>
      </w:r>
      <w:r w:rsidRPr="0067499B">
        <w:t>savivaldyb</w:t>
      </w:r>
      <w:r w:rsidRPr="008034A8">
        <w:rPr>
          <w:lang w:val="ru-RU"/>
        </w:rPr>
        <w:t>ė</w:t>
      </w:r>
      <w:r w:rsidRPr="0067499B">
        <w:t>s</w:t>
      </w:r>
      <w:r w:rsidRPr="008034A8">
        <w:rPr>
          <w:lang w:val="ru-RU"/>
        </w:rPr>
        <w:t xml:space="preserve"> </w:t>
      </w:r>
      <w:r w:rsidRPr="0067499B">
        <w:t>gyventoj</w:t>
      </w:r>
      <w:r w:rsidRPr="008034A8">
        <w:rPr>
          <w:lang w:val="ru-RU"/>
        </w:rPr>
        <w:t xml:space="preserve">ų </w:t>
      </w:r>
      <w:r w:rsidRPr="0067499B">
        <w:t>sveikat</w:t>
      </w:r>
      <w:r w:rsidRPr="008034A8">
        <w:rPr>
          <w:lang w:val="ru-RU"/>
        </w:rPr>
        <w:t xml:space="preserve">ą </w:t>
      </w:r>
      <w:r w:rsidRPr="0067499B">
        <w:t>atspindin</w:t>
      </w:r>
      <w:r w:rsidRPr="008034A8">
        <w:rPr>
          <w:lang w:val="ru-RU"/>
        </w:rPr>
        <w:t>č</w:t>
      </w:r>
      <w:r w:rsidRPr="0067499B">
        <w:t>ius</w:t>
      </w:r>
      <w:r w:rsidRPr="008034A8">
        <w:rPr>
          <w:lang w:val="ru-RU"/>
        </w:rPr>
        <w:t xml:space="preserve"> </w:t>
      </w:r>
      <w:r w:rsidRPr="0067499B">
        <w:t>rodiklius</w:t>
      </w:r>
      <w:r w:rsidRPr="008034A8">
        <w:rPr>
          <w:lang w:val="ru-RU"/>
        </w:rPr>
        <w:t xml:space="preserve">, </w:t>
      </w:r>
      <w:r w:rsidRPr="0067499B">
        <w:t>j</w:t>
      </w:r>
      <w:r w:rsidRPr="008034A8">
        <w:rPr>
          <w:lang w:val="ru-RU"/>
        </w:rPr>
        <w:t xml:space="preserve">ų </w:t>
      </w:r>
      <w:r w:rsidRPr="0067499B">
        <w:t>dinamik</w:t>
      </w:r>
      <w:r w:rsidRPr="008034A8">
        <w:rPr>
          <w:lang w:val="ru-RU"/>
        </w:rPr>
        <w:t xml:space="preserve">ą </w:t>
      </w:r>
      <w:r w:rsidRPr="0067499B">
        <w:t>ir</w:t>
      </w:r>
      <w:r w:rsidRPr="008034A8">
        <w:rPr>
          <w:lang w:val="ru-RU"/>
        </w:rPr>
        <w:t xml:space="preserve"> </w:t>
      </w:r>
      <w:r w:rsidRPr="0067499B">
        <w:t>j</w:t>
      </w:r>
      <w:r w:rsidRPr="008034A8">
        <w:rPr>
          <w:lang w:val="ru-RU"/>
        </w:rPr>
        <w:t xml:space="preserve">ų </w:t>
      </w:r>
      <w:r w:rsidRPr="0067499B">
        <w:t>pagrindu</w:t>
      </w:r>
      <w:r w:rsidRPr="008034A8">
        <w:rPr>
          <w:lang w:val="ru-RU"/>
        </w:rPr>
        <w:t xml:space="preserve"> </w:t>
      </w:r>
      <w:r w:rsidRPr="0067499B">
        <w:t>pateikti</w:t>
      </w:r>
      <w:r w:rsidRPr="008034A8">
        <w:rPr>
          <w:lang w:val="ru-RU"/>
        </w:rPr>
        <w:t xml:space="preserve"> </w:t>
      </w:r>
      <w:r w:rsidRPr="0067499B">
        <w:t>rekomendacijas</w:t>
      </w:r>
      <w:r w:rsidRPr="008034A8">
        <w:rPr>
          <w:lang w:val="ru-RU"/>
        </w:rPr>
        <w:t xml:space="preserve"> </w:t>
      </w:r>
      <w:r w:rsidRPr="0067499B">
        <w:t>bei</w:t>
      </w:r>
      <w:r w:rsidRPr="008034A8">
        <w:rPr>
          <w:lang w:val="ru-RU"/>
        </w:rPr>
        <w:t xml:space="preserve"> </w:t>
      </w:r>
      <w:r w:rsidRPr="0067499B">
        <w:t>prioritetines</w:t>
      </w:r>
      <w:r w:rsidRPr="008034A8">
        <w:rPr>
          <w:lang w:val="ru-RU"/>
        </w:rPr>
        <w:t xml:space="preserve"> </w:t>
      </w:r>
      <w:r w:rsidRPr="0067499B">
        <w:t>kryptis</w:t>
      </w:r>
      <w:r w:rsidRPr="008034A8">
        <w:rPr>
          <w:lang w:val="ru-RU"/>
        </w:rPr>
        <w:t xml:space="preserve"> </w:t>
      </w:r>
      <w:r w:rsidRPr="0067499B">
        <w:t>savivaldyb</w:t>
      </w:r>
      <w:r w:rsidRPr="008034A8">
        <w:rPr>
          <w:lang w:val="ru-RU"/>
        </w:rPr>
        <w:t>ė</w:t>
      </w:r>
      <w:r w:rsidRPr="0067499B">
        <w:t>s</w:t>
      </w:r>
      <w:r w:rsidRPr="008034A8">
        <w:rPr>
          <w:lang w:val="ru-RU"/>
        </w:rPr>
        <w:t xml:space="preserve"> </w:t>
      </w:r>
      <w:r w:rsidRPr="0067499B">
        <w:t>pl</w:t>
      </w:r>
      <w:r w:rsidRPr="008034A8">
        <w:rPr>
          <w:lang w:val="ru-RU"/>
        </w:rPr>
        <w:t>ė</w:t>
      </w:r>
      <w:r w:rsidRPr="0067499B">
        <w:t>tros</w:t>
      </w:r>
      <w:r w:rsidRPr="008034A8">
        <w:rPr>
          <w:lang w:val="ru-RU"/>
        </w:rPr>
        <w:t xml:space="preserve"> </w:t>
      </w:r>
      <w:r w:rsidRPr="0067499B">
        <w:t>plano</w:t>
      </w:r>
      <w:r w:rsidRPr="008034A8">
        <w:rPr>
          <w:lang w:val="ru-RU"/>
        </w:rPr>
        <w:t xml:space="preserve"> </w:t>
      </w:r>
      <w:r w:rsidRPr="0067499B">
        <w:t>siekiniams</w:t>
      </w:r>
      <w:r w:rsidRPr="008034A8">
        <w:rPr>
          <w:lang w:val="ru-RU"/>
        </w:rPr>
        <w:t xml:space="preserve">, </w:t>
      </w:r>
      <w:r w:rsidRPr="0067499B">
        <w:t>strategin</w:t>
      </w:r>
      <w:r>
        <w:t>io</w:t>
      </w:r>
      <w:r w:rsidRPr="008034A8">
        <w:rPr>
          <w:lang w:val="ru-RU"/>
        </w:rPr>
        <w:t xml:space="preserve"> </w:t>
      </w:r>
      <w:r>
        <w:t>veiklos</w:t>
      </w:r>
      <w:r w:rsidRPr="008034A8">
        <w:rPr>
          <w:lang w:val="ru-RU"/>
        </w:rPr>
        <w:t xml:space="preserve"> </w:t>
      </w:r>
      <w:r>
        <w:t>plano</w:t>
      </w:r>
      <w:r w:rsidRPr="008034A8">
        <w:rPr>
          <w:lang w:val="ru-RU"/>
        </w:rPr>
        <w:t xml:space="preserve"> </w:t>
      </w:r>
      <w:r>
        <w:t>priemon</w:t>
      </w:r>
      <w:r w:rsidRPr="008034A8">
        <w:rPr>
          <w:lang w:val="ru-RU"/>
        </w:rPr>
        <w:t>ė</w:t>
      </w:r>
      <w:r>
        <w:t>ms</w:t>
      </w:r>
      <w:r w:rsidRPr="008034A8">
        <w:rPr>
          <w:lang w:val="ru-RU"/>
        </w:rPr>
        <w:t xml:space="preserve">. </w:t>
      </w:r>
      <w:r w:rsidRPr="0067499B">
        <w:t>Ataskaita parengta naudojantis viešai prieinamais sveikatos s</w:t>
      </w:r>
      <w:r>
        <w:t>tatistikos duomenų šaltiniais:</w:t>
      </w:r>
    </w:p>
    <w:p w:rsidR="00EF3402" w:rsidRPr="0067499B" w:rsidRDefault="00EF3402" w:rsidP="00EF3402">
      <w:pPr>
        <w:numPr>
          <w:ilvl w:val="0"/>
          <w:numId w:val="44"/>
        </w:numPr>
        <w:spacing w:after="200" w:line="360" w:lineRule="auto"/>
        <w:jc w:val="both"/>
      </w:pPr>
      <w:r w:rsidRPr="0067499B">
        <w:t>Lietuvos statistikos departamento Oficialiosios statistikos portalu;</w:t>
      </w:r>
    </w:p>
    <w:p w:rsidR="00EF3402" w:rsidRDefault="00EF3402" w:rsidP="00EF3402">
      <w:pPr>
        <w:numPr>
          <w:ilvl w:val="0"/>
          <w:numId w:val="44"/>
        </w:numPr>
        <w:spacing w:after="200" w:line="360" w:lineRule="auto"/>
        <w:jc w:val="both"/>
      </w:pPr>
      <w:r w:rsidRPr="0067499B">
        <w:t>Visuomenes sveikatos stebėsenos informacine sistema sveikstat.hi.lt</w:t>
      </w:r>
    </w:p>
    <w:p w:rsidR="00EF3402" w:rsidRDefault="00EF3402" w:rsidP="00EF3402">
      <w:pPr>
        <w:spacing w:line="360" w:lineRule="auto"/>
        <w:ind w:firstLine="1296"/>
        <w:jc w:val="both"/>
      </w:pPr>
    </w:p>
    <w:p w:rsidR="00EF3402" w:rsidRPr="002E4150" w:rsidRDefault="00EF3402" w:rsidP="00EF3402">
      <w:pPr>
        <w:pStyle w:val="Antrat1"/>
        <w:numPr>
          <w:ilvl w:val="0"/>
          <w:numId w:val="33"/>
        </w:numPr>
        <w:tabs>
          <w:tab w:val="clear" w:pos="1134"/>
        </w:tabs>
        <w:spacing w:before="240" w:after="60" w:line="276" w:lineRule="auto"/>
      </w:pPr>
      <w:r>
        <w:br w:type="page"/>
      </w:r>
      <w:bookmarkStart w:id="5" w:name="_Toc58762845"/>
      <w:bookmarkStart w:id="6" w:name="_Toc58762889"/>
      <w:bookmarkStart w:id="7" w:name="_Toc58762898"/>
      <w:bookmarkStart w:id="8" w:name="_Toc58936308"/>
      <w:r w:rsidRPr="002E4150">
        <w:lastRenderedPageBreak/>
        <w:t>DEMOGRAFINĖ SITUACIJA</w:t>
      </w:r>
      <w:bookmarkEnd w:id="5"/>
      <w:bookmarkEnd w:id="6"/>
      <w:bookmarkEnd w:id="7"/>
      <w:bookmarkEnd w:id="8"/>
    </w:p>
    <w:p w:rsidR="00EF3402" w:rsidRPr="00E557D6" w:rsidRDefault="00EF3402" w:rsidP="00EF3402"/>
    <w:p w:rsidR="00EF3402" w:rsidRPr="00D50CC8" w:rsidRDefault="00EF3402" w:rsidP="00EF3402">
      <w:pPr>
        <w:pStyle w:val="Standard"/>
        <w:spacing w:line="360" w:lineRule="auto"/>
        <w:ind w:firstLine="1296"/>
        <w:jc w:val="both"/>
        <w:rPr>
          <w:rFonts w:ascii="Times New Roman" w:hAnsi="Times New Roman"/>
        </w:rPr>
      </w:pPr>
      <w:r w:rsidRPr="002259BA">
        <w:rPr>
          <w:rFonts w:ascii="Times New Roman" w:hAnsi="Times New Roman"/>
        </w:rPr>
        <w:t xml:space="preserve">2019 m. Šalčininkų rajono savivaldybės vidutinis metinis gyventojų skaičius – 30 776. </w:t>
      </w:r>
      <w:r>
        <w:rPr>
          <w:rFonts w:ascii="Times New Roman" w:hAnsi="Times New Roman"/>
        </w:rPr>
        <w:t>Nuo 2010</w:t>
      </w:r>
      <w:r w:rsidRPr="00E557D6">
        <w:rPr>
          <w:rFonts w:ascii="Times New Roman" w:hAnsi="Times New Roman"/>
        </w:rPr>
        <w:t xml:space="preserve"> metų stebimas gyventojų mažėjimas</w:t>
      </w:r>
      <w:r>
        <w:rPr>
          <w:rFonts w:ascii="Times New Roman" w:hAnsi="Times New Roman"/>
        </w:rPr>
        <w:t xml:space="preserve"> savivaldybėje </w:t>
      </w:r>
      <w:r w:rsidRPr="00E557D6">
        <w:rPr>
          <w:rFonts w:ascii="Times New Roman" w:hAnsi="Times New Roman"/>
        </w:rPr>
        <w:t xml:space="preserve">(1 pav.). </w:t>
      </w:r>
    </w:p>
    <w:p w:rsidR="00EF3402" w:rsidRPr="00E557D6" w:rsidRDefault="00EF3402" w:rsidP="00EF3402">
      <w:pPr>
        <w:spacing w:line="360" w:lineRule="auto"/>
        <w:jc w:val="both"/>
      </w:pPr>
      <w:r w:rsidRPr="00E557D6">
        <w:t xml:space="preserve"> </w:t>
      </w:r>
      <w:r w:rsidRPr="00670A80">
        <w:rPr>
          <w:lang w:eastAsia="lt-LT"/>
        </w:rPr>
        <w:drawing>
          <wp:inline distT="0" distB="0" distL="0" distR="0">
            <wp:extent cx="5940425" cy="2512695"/>
            <wp:effectExtent l="0" t="0" r="3175" b="1905"/>
            <wp:docPr id="127" name="Diagrama 1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3402" w:rsidRPr="00E557D6" w:rsidRDefault="00EF3402" w:rsidP="00EF3402">
      <w:pPr>
        <w:pStyle w:val="Standard"/>
        <w:spacing w:line="360" w:lineRule="auto"/>
        <w:jc w:val="center"/>
        <w:rPr>
          <w:rFonts w:ascii="Times New Roman" w:hAnsi="Times New Roman" w:cs="Times New Roman"/>
          <w:i/>
        </w:rPr>
      </w:pPr>
      <w:r w:rsidRPr="00180A9A">
        <w:rPr>
          <w:rFonts w:ascii="Times New Roman" w:hAnsi="Times New Roman" w:cs="Times New Roman"/>
          <w:b/>
          <w:i/>
        </w:rPr>
        <w:t>1 p</w:t>
      </w:r>
      <w:r w:rsidRPr="00E557D6">
        <w:rPr>
          <w:rFonts w:ascii="Times New Roman" w:hAnsi="Times New Roman" w:cs="Times New Roman"/>
          <w:b/>
          <w:i/>
        </w:rPr>
        <w:t>av.</w:t>
      </w:r>
      <w:r w:rsidRPr="00E557D6">
        <w:rPr>
          <w:rFonts w:ascii="Times New Roman" w:hAnsi="Times New Roman" w:cs="Times New Roman"/>
          <w:i/>
        </w:rPr>
        <w:t xml:space="preserve"> Vidutinis metinis gyventojų skaičius </w:t>
      </w:r>
      <w:r w:rsidRPr="00180A9A">
        <w:rPr>
          <w:rFonts w:ascii="Times New Roman" w:hAnsi="Times New Roman" w:cs="Times New Roman"/>
          <w:i/>
        </w:rPr>
        <w:t xml:space="preserve">2010 – 2019 m. </w:t>
      </w:r>
      <w:r w:rsidRPr="00E557D6">
        <w:rPr>
          <w:rFonts w:ascii="Times New Roman" w:hAnsi="Times New Roman" w:cs="Times New Roman"/>
          <w:i/>
        </w:rPr>
        <w:t>Šalčininkų r. sav.</w:t>
      </w:r>
    </w:p>
    <w:p w:rsidR="00EF3402" w:rsidRPr="00593D08" w:rsidRDefault="00EF3402" w:rsidP="00EF3402">
      <w:pPr>
        <w:spacing w:line="360" w:lineRule="auto"/>
        <w:ind w:firstLine="1296"/>
        <w:jc w:val="both"/>
      </w:pPr>
      <w:r w:rsidRPr="00593D08">
        <w:t>2019 metais Šalčininkų r</w:t>
      </w:r>
      <w:r>
        <w:t>. sav.</w:t>
      </w:r>
      <w:r w:rsidRPr="00593D08">
        <w:t xml:space="preserve"> vyrų dalis sudarė 48,4 proc. visų gyventojų, o moterų – 51,6 proc. Miesto gyventojai sudarė 35,2 proc. visų Šalčininkų rajono savivaldybės gyventojų, kaimo gyventojai – 64,8 proc. Pagal amžiaus grupes didžiąją dalį gyventojų sudarė 18-44 metų am</w:t>
      </w:r>
      <w:r>
        <w:t xml:space="preserve">žiaus gyventojai – 33,7 proc., mažiausią </w:t>
      </w:r>
      <w:r w:rsidRPr="00593D08">
        <w:t>65 metų ir vyresni – 17,1 proc</w:t>
      </w:r>
      <w:r>
        <w:t>.</w:t>
      </w:r>
      <w:r w:rsidRPr="00593D08">
        <w:t>, gyventojų pasiskirstymas kitose amžiaus grupėse</w:t>
      </w:r>
      <w:r>
        <w:t>:</w:t>
      </w:r>
      <w:r w:rsidRPr="00593D08">
        <w:t xml:space="preserve"> 0-17 m. – 19,6 proc., 45-64 m – 29,6 proc. Gyventojų struktūra pagal lytį, gyvenamąją vietą ir amžiaus grupes lyginant su 2018 </w:t>
      </w:r>
      <w:r>
        <w:t>kito nežymiai</w:t>
      </w:r>
      <w:r w:rsidRPr="00593D08">
        <w:t>.</w:t>
      </w:r>
      <w:r>
        <w:t xml:space="preserve"> </w:t>
      </w:r>
      <w:r w:rsidRPr="00D50CC8">
        <w:t>Vidutinė tikėtin</w:t>
      </w:r>
      <w:r>
        <w:t>a</w:t>
      </w:r>
      <w:r w:rsidRPr="00D50CC8">
        <w:t xml:space="preserve"> gyvenimo trukmė – žemesnė nei Lietuvos vidurkis</w:t>
      </w:r>
      <w:r>
        <w:t xml:space="preserve"> ir</w:t>
      </w:r>
      <w:r w:rsidRPr="00D50CC8">
        <w:t xml:space="preserve"> siekia 70,9 m.</w:t>
      </w:r>
      <w:r>
        <w:t>,</w:t>
      </w:r>
      <w:r w:rsidRPr="00D50CC8">
        <w:t xml:space="preserve"> lyginant su 2018 m. rodiklis neženkliai sumažėjo.</w:t>
      </w:r>
    </w:p>
    <w:p w:rsidR="00EF3402" w:rsidRPr="00593D08" w:rsidRDefault="00EF3402" w:rsidP="00EF3402">
      <w:pPr>
        <w:spacing w:line="360" w:lineRule="auto"/>
        <w:ind w:firstLine="1296"/>
        <w:jc w:val="both"/>
      </w:pPr>
      <w:r w:rsidRPr="00E557D6">
        <w:t>Šalčininkų r. sav. 2019 metais natūralus prieaugis – -8,8/1 000 gyv. (mirusių asmenų daugiau nei gimusių), mirtingumo rodiklis siekė 17,2/1 000 gyv., gimstamumo – 8,4/1 000 gyv.</w:t>
      </w:r>
      <w:r w:rsidRPr="00593D08">
        <w:t xml:space="preserve">. Lyginant su 2018 m. </w:t>
      </w:r>
      <w:r>
        <w:t>gimstamumo rodiklis sumažėjo, o mirtingumo rodiklis pakito nežymiai (2018 m</w:t>
      </w:r>
      <w:r w:rsidRPr="00593D08">
        <w:t xml:space="preserve">. </w:t>
      </w:r>
      <w:r>
        <w:t xml:space="preserve">gimstamumo rodiklis – </w:t>
      </w:r>
      <w:r w:rsidRPr="00593D08">
        <w:t>10,7</w:t>
      </w:r>
      <w:r>
        <w:t xml:space="preserve">/ 1 000gyv., mirtingumo - </w:t>
      </w:r>
      <w:r w:rsidRPr="00593D08">
        <w:t xml:space="preserve"> 17,6</w:t>
      </w:r>
      <w:r>
        <w:t>/1 000 gyv.</w:t>
      </w:r>
      <w:r w:rsidRPr="00593D08">
        <w:t>)</w:t>
      </w:r>
      <w:r>
        <w:t>.</w:t>
      </w:r>
    </w:p>
    <w:p w:rsidR="00EF3402" w:rsidRPr="00776894" w:rsidRDefault="00EF3402" w:rsidP="00EF3402">
      <w:pPr>
        <w:spacing w:line="360" w:lineRule="auto"/>
        <w:ind w:firstLine="1296"/>
        <w:jc w:val="both"/>
      </w:pPr>
      <w:r>
        <w:t xml:space="preserve">Santuokų skaičius sumažėjo, ištuokų skaičius pakito nežymiai. </w:t>
      </w:r>
      <w:r w:rsidRPr="00E557D6">
        <w:t>2019 metais santuokų skaičius  7,1/1000 gyv., ištuokų skaičius – 3,2/1000 gyv.</w:t>
      </w:r>
      <w:r>
        <w:t xml:space="preserve"> (</w:t>
      </w:r>
      <w:r w:rsidRPr="00776894">
        <w:t>2018 m. santuok</w:t>
      </w:r>
      <w:r>
        <w:t>ų – 6,9/1000 gyv., ištuokų 2,9/1 000 gyv.).</w:t>
      </w:r>
    </w:p>
    <w:p w:rsidR="00EF3402" w:rsidRPr="00771032" w:rsidRDefault="00EF3402" w:rsidP="00EF3402">
      <w:pPr>
        <w:spacing w:line="360" w:lineRule="auto"/>
        <w:ind w:firstLine="1296"/>
        <w:jc w:val="both"/>
      </w:pPr>
      <w:r w:rsidRPr="00776894">
        <w:t>Socioe</w:t>
      </w:r>
      <w:r>
        <w:t>konominė situacija savivaldybėje – m</w:t>
      </w:r>
      <w:r w:rsidRPr="000D5C06">
        <w:t>ažėjo registruotas nedarbo lygis.</w:t>
      </w:r>
      <w:r w:rsidRPr="00776894">
        <w:t xml:space="preserve"> </w:t>
      </w:r>
      <w:r w:rsidRPr="00E557D6">
        <w:t xml:space="preserve"> </w:t>
      </w:r>
      <w:r w:rsidRPr="00593D08">
        <w:t xml:space="preserve">Registruoto nedarbo lygis, darbingo amžiaus </w:t>
      </w:r>
      <w:r>
        <w:t xml:space="preserve">(15-64) gyventojų siekė </w:t>
      </w:r>
      <w:r w:rsidRPr="00776894">
        <w:t>8,8</w:t>
      </w:r>
      <w:r>
        <w:t xml:space="preserve"> proc. (</w:t>
      </w:r>
      <w:r w:rsidRPr="00776894">
        <w:t xml:space="preserve">2018 m. </w:t>
      </w:r>
      <w:r>
        <w:t>– 9 proc), tuo tarpu Lietuvoje 8,4</w:t>
      </w:r>
      <w:r w:rsidRPr="00776894">
        <w:t xml:space="preserve"> proc.</w:t>
      </w:r>
    </w:p>
    <w:tbl>
      <w:tblPr>
        <w:tblW w:w="0" w:type="auto"/>
        <w:tblInd w:w="-426" w:type="dxa"/>
        <w:tblCellMar>
          <w:left w:w="0" w:type="dxa"/>
          <w:right w:w="0" w:type="dxa"/>
        </w:tblCellMar>
        <w:tblLook w:val="04A0" w:firstRow="1" w:lastRow="0" w:firstColumn="1" w:lastColumn="0" w:noHBand="0" w:noVBand="1"/>
      </w:tblPr>
      <w:tblGrid>
        <w:gridCol w:w="10064"/>
      </w:tblGrid>
      <w:tr w:rsidR="00EF3402" w:rsidRPr="00771032" w:rsidTr="0070590D">
        <w:trPr>
          <w:trHeight w:val="1133"/>
        </w:trPr>
        <w:tc>
          <w:tcPr>
            <w:tcW w:w="10064" w:type="dxa"/>
          </w:tcPr>
          <w:tbl>
            <w:tblPr>
              <w:tblW w:w="0" w:type="auto"/>
              <w:tblCellMar>
                <w:left w:w="0" w:type="dxa"/>
                <w:right w:w="0" w:type="dxa"/>
              </w:tblCellMar>
              <w:tblLook w:val="04A0" w:firstRow="1" w:lastRow="0" w:firstColumn="1" w:lastColumn="0" w:noHBand="0" w:noVBand="1"/>
            </w:tblPr>
            <w:tblGrid>
              <w:gridCol w:w="10064"/>
            </w:tblGrid>
            <w:tr w:rsidR="00EF3402" w:rsidRPr="00771032" w:rsidTr="0070590D">
              <w:trPr>
                <w:trHeight w:val="1055"/>
              </w:trPr>
              <w:tc>
                <w:tcPr>
                  <w:tcW w:w="10204" w:type="dxa"/>
                  <w:tcBorders>
                    <w:top w:val="nil"/>
                    <w:left w:val="nil"/>
                    <w:bottom w:val="nil"/>
                    <w:right w:val="nil"/>
                  </w:tcBorders>
                  <w:tcMar>
                    <w:top w:w="39" w:type="dxa"/>
                    <w:left w:w="39" w:type="dxa"/>
                    <w:bottom w:w="39" w:type="dxa"/>
                    <w:right w:w="39" w:type="dxa"/>
                  </w:tcMar>
                </w:tcPr>
                <w:p w:rsidR="00EF3402" w:rsidRPr="00771032" w:rsidRDefault="00EF3402" w:rsidP="00EF3402">
                  <w:pPr>
                    <w:pStyle w:val="Antrat1"/>
                    <w:numPr>
                      <w:ilvl w:val="0"/>
                      <w:numId w:val="33"/>
                    </w:numPr>
                    <w:tabs>
                      <w:tab w:val="clear" w:pos="1134"/>
                    </w:tabs>
                    <w:spacing w:before="240" w:after="60" w:line="276" w:lineRule="auto"/>
                  </w:pPr>
                  <w:bookmarkStart w:id="9" w:name="_Toc58762846"/>
                  <w:bookmarkStart w:id="10" w:name="_Toc58762890"/>
                  <w:bookmarkStart w:id="11" w:name="_Toc58762899"/>
                  <w:bookmarkStart w:id="12" w:name="_Toc58936309"/>
                  <w:r w:rsidRPr="00771032">
                    <w:lastRenderedPageBreak/>
                    <w:t>2019 METŲ ŠALČININKŲ R.</w:t>
                  </w:r>
                  <w:r>
                    <w:t xml:space="preserve"> SAV.</w:t>
                  </w:r>
                  <w:r w:rsidRPr="00771032">
                    <w:t xml:space="preserve"> SVEIKATOS IR SU SVEIKATA SUSIJUSIŲ RODIKLIŲ PROFILIS</w:t>
                  </w:r>
                  <w:bookmarkEnd w:id="9"/>
                  <w:bookmarkEnd w:id="10"/>
                  <w:bookmarkEnd w:id="11"/>
                  <w:bookmarkEnd w:id="12"/>
                </w:p>
                <w:p w:rsidR="00EF3402" w:rsidRDefault="00EF3402" w:rsidP="0070590D"/>
                <w:p w:rsidR="00EF3402" w:rsidRPr="00E369B2" w:rsidRDefault="00EF3402" w:rsidP="0070590D">
                  <w:pPr>
                    <w:rPr>
                      <w:i/>
                    </w:rPr>
                  </w:pPr>
                  <w:r w:rsidRPr="00E369B2">
                    <w:rPr>
                      <w:b/>
                      <w:i/>
                    </w:rPr>
                    <w:t>1 lentelė.</w:t>
                  </w:r>
                  <w:r w:rsidRPr="00E369B2">
                    <w:rPr>
                      <w:i/>
                    </w:rPr>
                    <w:t xml:space="preserve"> 2019 Šalčininkų r. savivaldybės sveikatos ir su sveikata susijusių rodiklių profilis</w:t>
                  </w:r>
                </w:p>
              </w:tc>
            </w:tr>
          </w:tbl>
          <w:p w:rsidR="00EF3402" w:rsidRPr="00771032" w:rsidRDefault="00EF3402" w:rsidP="0070590D"/>
        </w:tc>
      </w:tr>
      <w:tr w:rsidR="00EF3402" w:rsidRPr="00211235" w:rsidTr="0070590D">
        <w:tc>
          <w:tcPr>
            <w:tcW w:w="1006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604"/>
              <w:gridCol w:w="939"/>
              <w:gridCol w:w="719"/>
              <w:gridCol w:w="569"/>
              <w:gridCol w:w="719"/>
              <w:gridCol w:w="739"/>
              <w:gridCol w:w="444"/>
              <w:gridCol w:w="598"/>
              <w:gridCol w:w="3197"/>
              <w:gridCol w:w="518"/>
            </w:tblGrid>
            <w:tr w:rsidR="00EF3402" w:rsidRPr="00211235" w:rsidTr="0070590D">
              <w:trPr>
                <w:trHeight w:val="205"/>
              </w:trPr>
              <w:tc>
                <w:tcPr>
                  <w:tcW w:w="1605"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EF3402" w:rsidRPr="00771032" w:rsidRDefault="00EF3402" w:rsidP="0070590D">
                  <w:pPr>
                    <w:jc w:val="center"/>
                    <w:rPr>
                      <w:b/>
                      <w:sz w:val="18"/>
                      <w:szCs w:val="18"/>
                    </w:rPr>
                  </w:pPr>
                  <w:r w:rsidRPr="00771032">
                    <w:rPr>
                      <w:b/>
                      <w:color w:val="000000"/>
                      <w:sz w:val="18"/>
                      <w:szCs w:val="18"/>
                    </w:rPr>
                    <w:t>Rodiklio pavadinimas</w:t>
                  </w:r>
                </w:p>
              </w:tc>
              <w:tc>
                <w:tcPr>
                  <w:tcW w:w="3633" w:type="dxa"/>
                  <w:gridSpan w:val="5"/>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center"/>
                    <w:rPr>
                      <w:b/>
                      <w:sz w:val="18"/>
                      <w:szCs w:val="18"/>
                    </w:rPr>
                  </w:pPr>
                  <w:r w:rsidRPr="00771032">
                    <w:rPr>
                      <w:b/>
                      <w:color w:val="000000"/>
                      <w:sz w:val="18"/>
                      <w:szCs w:val="18"/>
                    </w:rPr>
                    <w:t>Savivaldybės reikšmės</w:t>
                  </w:r>
                </w:p>
              </w:tc>
              <w:tc>
                <w:tcPr>
                  <w:tcW w:w="4675"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center"/>
                    <w:rPr>
                      <w:b/>
                      <w:sz w:val="18"/>
                      <w:szCs w:val="18"/>
                    </w:rPr>
                  </w:pPr>
                  <w:r w:rsidRPr="00771032">
                    <w:rPr>
                      <w:b/>
                      <w:color w:val="000000"/>
                      <w:sz w:val="18"/>
                      <w:szCs w:val="18"/>
                    </w:rPr>
                    <w:t>Lietuvos reikšmės</w:t>
                  </w:r>
                </w:p>
              </w:tc>
            </w:tr>
            <w:tr w:rsidR="00EF3402" w:rsidRPr="00211235" w:rsidTr="0070590D">
              <w:trPr>
                <w:trHeight w:val="432"/>
              </w:trPr>
              <w:tc>
                <w:tcPr>
                  <w:tcW w:w="1605" w:type="dxa"/>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rPr>
                      <w:b/>
                      <w:sz w:val="18"/>
                      <w:szCs w:val="18"/>
                    </w:rPr>
                  </w:pP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center"/>
                    <w:rPr>
                      <w:b/>
                      <w:sz w:val="18"/>
                      <w:szCs w:val="18"/>
                    </w:rPr>
                  </w:pPr>
                  <w:r w:rsidRPr="00771032">
                    <w:rPr>
                      <w:b/>
                      <w:color w:val="000000"/>
                      <w:sz w:val="18"/>
                      <w:szCs w:val="18"/>
                    </w:rPr>
                    <w:t>Tend</w:t>
                  </w:r>
                  <w:r>
                    <w:rPr>
                      <w:b/>
                      <w:color w:val="000000"/>
                      <w:sz w:val="18"/>
                      <w:szCs w:val="18"/>
                    </w:rPr>
                    <w:t>encija</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center"/>
                    <w:rPr>
                      <w:b/>
                      <w:sz w:val="18"/>
                      <w:szCs w:val="18"/>
                    </w:rPr>
                  </w:pPr>
                  <w:r w:rsidRPr="00771032">
                    <w:rPr>
                      <w:b/>
                      <w:color w:val="000000"/>
                      <w:sz w:val="18"/>
                      <w:szCs w:val="18"/>
                    </w:rPr>
                    <w:t>Rod</w:t>
                  </w:r>
                  <w:r>
                    <w:rPr>
                      <w:b/>
                      <w:color w:val="000000"/>
                      <w:sz w:val="18"/>
                      <w:szCs w:val="18"/>
                    </w:rPr>
                    <w:t>iklis</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center"/>
                    <w:rPr>
                      <w:b/>
                      <w:sz w:val="18"/>
                      <w:szCs w:val="18"/>
                    </w:rPr>
                  </w:pPr>
                  <w:r w:rsidRPr="00771032">
                    <w:rPr>
                      <w:b/>
                      <w:color w:val="000000"/>
                      <w:sz w:val="18"/>
                      <w:szCs w:val="18"/>
                    </w:rPr>
                    <w:t>Kiekis</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center"/>
                    <w:rPr>
                      <w:b/>
                      <w:sz w:val="18"/>
                      <w:szCs w:val="18"/>
                    </w:rPr>
                  </w:pPr>
                  <w:r w:rsidRPr="00771032">
                    <w:rPr>
                      <w:b/>
                      <w:color w:val="000000"/>
                      <w:sz w:val="18"/>
                      <w:szCs w:val="18"/>
                    </w:rPr>
                    <w:t>3 metų vidurkis</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center"/>
                    <w:rPr>
                      <w:b/>
                      <w:sz w:val="18"/>
                      <w:szCs w:val="18"/>
                    </w:rPr>
                  </w:pPr>
                  <w:r w:rsidRPr="00771032">
                    <w:rPr>
                      <w:b/>
                      <w:color w:val="000000"/>
                      <w:sz w:val="18"/>
                      <w:szCs w:val="18"/>
                    </w:rPr>
                    <w:t>Sant</w:t>
                  </w:r>
                  <w:r>
                    <w:rPr>
                      <w:b/>
                      <w:color w:val="000000"/>
                      <w:sz w:val="18"/>
                      <w:szCs w:val="18"/>
                    </w:rPr>
                    <w:t>ykis</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center"/>
                    <w:rPr>
                      <w:b/>
                      <w:sz w:val="18"/>
                      <w:szCs w:val="18"/>
                    </w:rPr>
                  </w:pPr>
                  <w:r w:rsidRPr="00771032">
                    <w:rPr>
                      <w:b/>
                      <w:color w:val="000000"/>
                      <w:sz w:val="18"/>
                      <w:szCs w:val="18"/>
                    </w:rPr>
                    <w:t>Rod.</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center"/>
                    <w:rPr>
                      <w:b/>
                      <w:sz w:val="18"/>
                      <w:szCs w:val="18"/>
                    </w:rPr>
                  </w:pPr>
                  <w:r w:rsidRPr="00771032">
                    <w:rPr>
                      <w:b/>
                      <w:color w:val="000000"/>
                      <w:sz w:val="18"/>
                      <w:szCs w:val="18"/>
                    </w:rPr>
                    <w:t>Blog.</w:t>
                  </w:r>
                </w:p>
              </w:tc>
              <w:tc>
                <w:tcPr>
                  <w:tcW w:w="31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center"/>
                    <w:rPr>
                      <w:b/>
                      <w:sz w:val="18"/>
                      <w:szCs w:val="18"/>
                    </w:rPr>
                  </w:pPr>
                  <w:r w:rsidRPr="00771032">
                    <w:rPr>
                      <w:b/>
                      <w:color w:val="000000"/>
                      <w:sz w:val="18"/>
                      <w:szCs w:val="18"/>
                    </w:rPr>
                    <w:t>Sritis</w:t>
                  </w:r>
                </w:p>
              </w:tc>
              <w:tc>
                <w:tcPr>
                  <w:tcW w:w="5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center"/>
                    <w:rPr>
                      <w:b/>
                      <w:sz w:val="18"/>
                      <w:szCs w:val="18"/>
                    </w:rPr>
                  </w:pPr>
                  <w:r w:rsidRPr="00771032">
                    <w:rPr>
                      <w:b/>
                      <w:color w:val="000000"/>
                      <w:sz w:val="18"/>
                      <w:szCs w:val="18"/>
                    </w:rPr>
                    <w:t>Ger.</w:t>
                  </w:r>
                </w:p>
              </w:tc>
            </w:tr>
            <w:tr w:rsidR="00EF3402" w:rsidRPr="00211235" w:rsidTr="0070590D">
              <w:trPr>
                <w:trHeight w:val="262"/>
              </w:trPr>
              <w:tc>
                <w:tcPr>
                  <w:tcW w:w="9913"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EF3402" w:rsidRPr="00771032" w:rsidRDefault="00EF3402" w:rsidP="0070590D">
                  <w:r w:rsidRPr="00771032">
                    <w:rPr>
                      <w:color w:val="000000"/>
                      <w:sz w:val="16"/>
                    </w:rPr>
                    <w:t>Strateginis tikslas</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 xml:space="preserve">Vidutinė tikėtina gyvenimo trukmė, kai amžius 0 </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52400" cy="161925"/>
                        <wp:effectExtent l="0" t="0" r="0" b="9525"/>
                        <wp:docPr id="126" name="Paveikslėlis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rsidR="00EF3402" w:rsidRPr="00771032" w:rsidRDefault="00EF3402" w:rsidP="0070590D">
                  <w:pPr>
                    <w:jc w:val="right"/>
                  </w:pPr>
                  <w:r w:rsidRPr="00771032">
                    <w:rPr>
                      <w:color w:val="000000"/>
                      <w:sz w:val="16"/>
                    </w:rPr>
                    <w:t>70.9</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71</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70.4</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0.93</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76.5</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70.7</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125" name="Paveikslėlis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79.1</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Išvengiamas mirtingumas proc.</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124" name="Paveikslėlis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rsidR="00EF3402" w:rsidRPr="00771032" w:rsidRDefault="00EF3402" w:rsidP="0070590D">
                  <w:pPr>
                    <w:jc w:val="right"/>
                  </w:pPr>
                  <w:r w:rsidRPr="00771032">
                    <w:rPr>
                      <w:color w:val="000000"/>
                      <w:sz w:val="16"/>
                    </w:rPr>
                    <w:t>37.5</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199</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39.7</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1.18</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31.8</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40.3</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123" name="Paveikslėlis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22.1</w:t>
                  </w:r>
                </w:p>
              </w:tc>
            </w:tr>
            <w:tr w:rsidR="00EF3402" w:rsidRPr="00211235" w:rsidTr="0070590D">
              <w:trPr>
                <w:trHeight w:val="262"/>
              </w:trPr>
              <w:tc>
                <w:tcPr>
                  <w:tcW w:w="9913"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EF3402" w:rsidRPr="00771032" w:rsidRDefault="00EF3402" w:rsidP="0070590D">
                  <w:r w:rsidRPr="00771032">
                    <w:rPr>
                      <w:color w:val="000000"/>
                      <w:sz w:val="16"/>
                    </w:rPr>
                    <w:t>1 tikslas. Sukurti saugesnę socialinę aplinką, mažinti sveikatos netolygumus ir socialinę atskirtį</w:t>
                  </w:r>
                </w:p>
              </w:tc>
            </w:tr>
            <w:tr w:rsidR="00EF3402" w:rsidRPr="00211235" w:rsidTr="0070590D">
              <w:trPr>
                <w:trHeight w:val="262"/>
              </w:trPr>
              <w:tc>
                <w:tcPr>
                  <w:tcW w:w="9913"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rsidR="00EF3402" w:rsidRPr="00771032" w:rsidRDefault="00EF3402" w:rsidP="0070590D">
                  <w:r w:rsidRPr="00771032">
                    <w:rPr>
                      <w:color w:val="000000"/>
                      <w:sz w:val="16"/>
                    </w:rPr>
                    <w:t>1.1. Sumažinti skurdo lygį ir nedarbą</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Savižudybių sk. (X60-X84) 100 000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122" name="Paveikslėlis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26.0</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8</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34.2</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1.11</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23.5</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97.8</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121" name="Paveikslėlis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0.0</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SMR nuo tyčinio savęs žalojimo (X60-X84) 100 000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120" name="Paveikslėlis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25.8</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8</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35.0</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1.12</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23.0</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119.4</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119" name="Paveikslėlis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0.0</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Bandymų žudytis skaičius (X60–X64, X66–X84) 100 000 gyventojų</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118" name="Paveikslėlis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35.7</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11</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46.0</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0.96</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37.1</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121.4</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117" name="Paveikslėlis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3.0</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Ilgalaikio nedarbo lygis, darbo jėgos %</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116" name="Paveikslėlis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1.5</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289</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1.5</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0.79</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1.9</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6.4</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115" name="Paveikslėlis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0.3</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Gyv. skaičiaus pokytis 1000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52400" cy="161925"/>
                        <wp:effectExtent l="0" t="0" r="0" b="9525"/>
                        <wp:docPr id="114" name="Paveikslėlis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-16.6</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-510</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-1.2</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rPr>
                      <w:sz w:val="0"/>
                    </w:rPr>
                  </w:pP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0.0</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-34.8</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113" name="Paveikslėlis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28.4</w:t>
                  </w:r>
                </w:p>
              </w:tc>
            </w:tr>
            <w:tr w:rsidR="00EF3402" w:rsidRPr="00211235" w:rsidTr="0070590D">
              <w:trPr>
                <w:trHeight w:val="262"/>
              </w:trPr>
              <w:tc>
                <w:tcPr>
                  <w:tcW w:w="9913"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rsidR="00EF3402" w:rsidRPr="00771032" w:rsidRDefault="00EF3402" w:rsidP="0070590D">
                  <w:r w:rsidRPr="00771032">
                    <w:rPr>
                      <w:color w:val="000000"/>
                      <w:sz w:val="16"/>
                    </w:rPr>
                    <w:t>1.2. Sumažinti socialinę ekonominę gyventojų diferenciaciją šalies ir bendruomenių lygmeniu</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Mirt. nuo išorinių priežasčių  (V00-Y98) 100 000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112" name="Paveikslėlis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123.5</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38</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144.4</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1.44</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85.7</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195.5</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111" name="Paveikslėlis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28.6</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SMR nuo išorinių priežasčių (V00-Y98) 100 000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110" name="Paveikslėlis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rsidR="00EF3402" w:rsidRPr="00771032" w:rsidRDefault="00EF3402" w:rsidP="0070590D">
                  <w:pPr>
                    <w:jc w:val="right"/>
                  </w:pPr>
                  <w:r w:rsidRPr="00771032">
                    <w:rPr>
                      <w:color w:val="000000"/>
                      <w:sz w:val="16"/>
                    </w:rPr>
                    <w:t>122.8</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38</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154.5</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1.47</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83.6</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215.7</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109" name="Paveikslėlis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20.9</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Mokinių, gaunančių nemokamą maitinimą, sk. 1000 moksl.</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108" name="Paveikslėlis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rsidR="00EF3402" w:rsidRPr="00771032" w:rsidRDefault="00EF3402" w:rsidP="0070590D">
                  <w:pPr>
                    <w:jc w:val="right"/>
                  </w:pPr>
                  <w:r w:rsidRPr="00771032">
                    <w:rPr>
                      <w:color w:val="000000"/>
                      <w:sz w:val="16"/>
                    </w:rPr>
                    <w:t>350.4</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1422</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345.1</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2.39</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146.6</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350.4</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107" name="Paveikslėlis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42.0</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Socialinės pašalpos gavėjų sk. 1000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106" name="Paveikslėlis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38.7</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1190</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45.8</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1.68</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23.1</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81.9</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105" name="Paveikslėlis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1.7</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Serg. tuberkulioze (A15-A19) 10 000 gyv. (TB registro duomenys)</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104" name="Paveikslėlis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3.9</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12</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3.4</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1.26</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3.1</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8.0</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103" name="Paveikslėlis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0.0</w:t>
                  </w:r>
                </w:p>
              </w:tc>
            </w:tr>
            <w:tr w:rsidR="00EF3402" w:rsidRPr="00211235" w:rsidTr="0070590D">
              <w:trPr>
                <w:trHeight w:val="262"/>
              </w:trPr>
              <w:tc>
                <w:tcPr>
                  <w:tcW w:w="9913"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EF3402" w:rsidRPr="00771032" w:rsidRDefault="00EF3402" w:rsidP="0070590D">
                  <w:r w:rsidRPr="00771032">
                    <w:rPr>
                      <w:color w:val="000000"/>
                      <w:sz w:val="16"/>
                    </w:rPr>
                    <w:t>2 tikslas. Sukurti sveikatai palankią fizinę darbo ir gyvenamąją aplinką</w:t>
                  </w:r>
                </w:p>
              </w:tc>
            </w:tr>
            <w:tr w:rsidR="00EF3402" w:rsidRPr="00211235" w:rsidTr="0070590D">
              <w:trPr>
                <w:trHeight w:val="262"/>
              </w:trPr>
              <w:tc>
                <w:tcPr>
                  <w:tcW w:w="9913"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rsidR="00EF3402" w:rsidRPr="00771032" w:rsidRDefault="00EF3402" w:rsidP="0070590D">
                  <w:r w:rsidRPr="00771032">
                    <w:rPr>
                      <w:color w:val="000000"/>
                      <w:sz w:val="16"/>
                    </w:rPr>
                    <w:t>2.1. Kurti saugias darbo ir sveikas buities sąlygas, didinti prekių ir paslaugų vartotojų saugumą</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Asmenų, žuvusių ar sunkiai sužalotų darbe, sk. 10 000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102" name="Paveikslėlis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0.5</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0.8</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0.50</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1.0</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2.9</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101" name="Paveikslėlis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0.0</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Traumų dėl nukritimų (W00–W19) 65+ m. amžiaus grupėje sk. 10 000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100" name="Paveikslėlis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rsidR="00EF3402" w:rsidRPr="00771032" w:rsidRDefault="00EF3402" w:rsidP="0070590D">
                  <w:pPr>
                    <w:jc w:val="right"/>
                  </w:pPr>
                  <w:r w:rsidRPr="00771032">
                    <w:rPr>
                      <w:color w:val="000000"/>
                      <w:sz w:val="16"/>
                    </w:rPr>
                    <w:t>100.9</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53</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105.5</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0.69</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145.7</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197.2</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99" name="Paveikslėlis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92.6</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 xml:space="preserve">Asmenų, pirmą kartą pripažintų neįgaliais, </w:t>
                  </w:r>
                  <w:r w:rsidRPr="00771032">
                    <w:rPr>
                      <w:color w:val="000000"/>
                      <w:sz w:val="16"/>
                    </w:rPr>
                    <w:lastRenderedPageBreak/>
                    <w:t>sk. 10 000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lastRenderedPageBreak/>
                    <w:drawing>
                      <wp:inline distT="0" distB="0" distL="0" distR="0">
                        <wp:extent cx="133350" cy="161925"/>
                        <wp:effectExtent l="0" t="0" r="0" b="9525"/>
                        <wp:docPr id="98" name="Paveikslėlis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rsidR="00EF3402" w:rsidRPr="00771032" w:rsidRDefault="00EF3402" w:rsidP="0070590D">
                  <w:pPr>
                    <w:jc w:val="right"/>
                  </w:pPr>
                  <w:r w:rsidRPr="00771032">
                    <w:rPr>
                      <w:color w:val="000000"/>
                      <w:sz w:val="16"/>
                    </w:rPr>
                    <w:t>88.4</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173</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104.4</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1.44</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61.6</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146.4</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97" name="Paveikslėlis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42.2</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Naujai susirgusių žarnyno infekcinėmis ligomis (A00-A08) asmenų skaičius 10 000 gyv. (ULAC duom.)</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52400" cy="161925"/>
                        <wp:effectExtent l="0" t="0" r="0" b="9525"/>
                        <wp:docPr id="96" name="Paveikslėlis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58.2</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179</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59.1</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0.73</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79.5</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679.8</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95" name="Paveikslėlis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0.0</w:t>
                  </w:r>
                </w:p>
              </w:tc>
            </w:tr>
            <w:tr w:rsidR="00EF3402" w:rsidRPr="00211235" w:rsidTr="0070590D">
              <w:trPr>
                <w:trHeight w:val="262"/>
              </w:trPr>
              <w:tc>
                <w:tcPr>
                  <w:tcW w:w="9913"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rsidR="00EF3402" w:rsidRPr="00771032" w:rsidRDefault="00EF3402" w:rsidP="0070590D">
                  <w:r w:rsidRPr="00771032">
                    <w:rPr>
                      <w:color w:val="000000"/>
                      <w:sz w:val="16"/>
                    </w:rPr>
                    <w:t>2.2. Kurti palankias sąlygas saugiai leisti laisvalaikį</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Mirt. nuo paskendimo (W65-W74) 100 000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94" name="Paveikslėlis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6.5</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6.4</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1.33</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4.9</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24.2</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93" name="Paveikslėlis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0.0</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8034A8" w:rsidRDefault="00EF3402" w:rsidP="0070590D">
                  <w:pPr>
                    <w:rPr>
                      <w:lang w:val="pl-PL"/>
                    </w:rPr>
                  </w:pPr>
                  <w:r w:rsidRPr="008034A8">
                    <w:rPr>
                      <w:color w:val="000000"/>
                      <w:sz w:val="16"/>
                      <w:lang w:val="pl-PL"/>
                    </w:rPr>
                    <w:t>SMR nuo paskendimo (W65-W74) 100 000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52400" cy="161925"/>
                        <wp:effectExtent l="0" t="0" r="0" b="9525"/>
                        <wp:docPr id="92" name="Paveikslėlis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6.4</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6.2</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1.33</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4.8</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25.2</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91" name="Paveikslėlis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0.0</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8034A8" w:rsidRDefault="00EF3402" w:rsidP="0070590D">
                  <w:pPr>
                    <w:rPr>
                      <w:lang w:val="pl-PL"/>
                    </w:rPr>
                  </w:pPr>
                  <w:r w:rsidRPr="008034A8">
                    <w:rPr>
                      <w:color w:val="000000"/>
                      <w:sz w:val="16"/>
                      <w:lang w:val="pl-PL"/>
                    </w:rPr>
                    <w:t>Mirt. nuo nukritimo (W00-W19) 100 000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90" name="Paveikslėlis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16.2</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5</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17.1</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1.05</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15.5</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73.3</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89" name="Paveikslėlis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0.0</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8034A8" w:rsidRDefault="00EF3402" w:rsidP="0070590D">
                  <w:pPr>
                    <w:rPr>
                      <w:lang w:val="pl-PL"/>
                    </w:rPr>
                  </w:pPr>
                  <w:r w:rsidRPr="008034A8">
                    <w:rPr>
                      <w:color w:val="000000"/>
                      <w:sz w:val="16"/>
                      <w:lang w:val="pl-PL"/>
                    </w:rPr>
                    <w:t>SMR nuo nukritimo (W00-W19) 100 000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88" name="Paveikslėlis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18.3</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5</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24.3</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1.20</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15.2</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123.5</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87" name="Paveikslėlis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0.0</w:t>
                  </w:r>
                </w:p>
              </w:tc>
            </w:tr>
            <w:tr w:rsidR="00EF3402" w:rsidRPr="00211235" w:rsidTr="0070590D">
              <w:trPr>
                <w:trHeight w:val="262"/>
              </w:trPr>
              <w:tc>
                <w:tcPr>
                  <w:tcW w:w="9913"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rsidR="00EF3402" w:rsidRPr="00771032" w:rsidRDefault="00EF3402" w:rsidP="0070590D">
                  <w:r w:rsidRPr="00771032">
                    <w:rPr>
                      <w:color w:val="000000"/>
                      <w:sz w:val="16"/>
                    </w:rPr>
                    <w:t>2.3. Mažinti avaringumą ir traumų kelių eismo įvykiuose skaičių</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Mirt. transporto įvykiuose  (V00-V99) 100 000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86" name="Paveikslėlis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rsidR="00EF3402" w:rsidRPr="00771032" w:rsidRDefault="00EF3402" w:rsidP="0070590D">
                  <w:pPr>
                    <w:jc w:val="right"/>
                  </w:pPr>
                  <w:r w:rsidRPr="00771032">
                    <w:rPr>
                      <w:color w:val="000000"/>
                      <w:sz w:val="16"/>
                    </w:rPr>
                    <w:t>13.0</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4</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14.5</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1.69</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7.7</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48.5</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85" name="Paveikslėlis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0.0</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SMR transporto įvykiuose (V00-V99) 100 000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84" name="Paveikslėlis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rsidR="00EF3402" w:rsidRPr="00771032" w:rsidRDefault="00EF3402" w:rsidP="0070590D">
                  <w:pPr>
                    <w:jc w:val="right"/>
                  </w:pPr>
                  <w:r w:rsidRPr="00771032">
                    <w:rPr>
                      <w:color w:val="000000"/>
                      <w:sz w:val="16"/>
                    </w:rPr>
                    <w:t>14.0</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4</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15.1</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1.84</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7.6</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58.9</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83" name="Paveikslėlis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0.0</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Pėsčiųjų mirt. nuo transporto įvykių (V00-V09) 100 000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82" name="Paveikslėlis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rsidR="00EF3402" w:rsidRPr="00771032" w:rsidRDefault="00EF3402" w:rsidP="0070590D">
                  <w:pPr>
                    <w:jc w:val="right"/>
                  </w:pPr>
                  <w:r w:rsidRPr="00771032">
                    <w:rPr>
                      <w:color w:val="000000"/>
                      <w:sz w:val="16"/>
                    </w:rPr>
                    <w:t>9.7</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8.0</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4.22</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2.3</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13.5</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81" name="Paveikslėlis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0.0</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Pėsčiųjų standartizuotas mirtingumas nuo transporto įvykių (V00-V09) 100 000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80" name="Paveikslėlis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rsidR="00EF3402" w:rsidRPr="00771032" w:rsidRDefault="00EF3402" w:rsidP="0070590D">
                  <w:pPr>
                    <w:jc w:val="right"/>
                  </w:pPr>
                  <w:r w:rsidRPr="00771032">
                    <w:rPr>
                      <w:color w:val="000000"/>
                      <w:sz w:val="16"/>
                    </w:rPr>
                    <w:t>9.9</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8.2</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4.50</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2.2</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11.4</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79" name="Paveikslėlis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0.0</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Traumų dėl transporto įvykių (V00-V99) sk. 10 000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78" name="Paveikslėlis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6.8</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21</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7.3</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1.01</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6.7</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16.4</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77" name="Paveikslėlis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0.9</w:t>
                  </w:r>
                </w:p>
              </w:tc>
            </w:tr>
            <w:tr w:rsidR="00EF3402" w:rsidRPr="00211235" w:rsidTr="0070590D">
              <w:trPr>
                <w:trHeight w:val="262"/>
              </w:trPr>
              <w:tc>
                <w:tcPr>
                  <w:tcW w:w="9913"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rsidR="00EF3402" w:rsidRPr="00771032" w:rsidRDefault="00EF3402" w:rsidP="0070590D">
                  <w:r w:rsidRPr="00771032">
                    <w:rPr>
                      <w:color w:val="000000"/>
                      <w:sz w:val="16"/>
                    </w:rPr>
                    <w:t>2.4. Mažinti oro, vandens ir dirvožemio užterštumą, triukšmą</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Į atmosferą iš stacionarių taršos šaltinių išmestų teršalų kiekis, tenkantis 1 kv. Km</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76" name="Paveikslėlis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rsidR="00EF3402" w:rsidRPr="00771032" w:rsidRDefault="00EF3402" w:rsidP="0070590D">
                  <w:pPr>
                    <w:jc w:val="right"/>
                  </w:pPr>
                  <w:r w:rsidRPr="00771032">
                    <w:rPr>
                      <w:color w:val="000000"/>
                      <w:sz w:val="16"/>
                    </w:rPr>
                    <w:t>70.6</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71</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86.8</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0.07</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969.6</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34386.4</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75" name="Paveikslėlis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29.7</w:t>
                  </w:r>
                </w:p>
              </w:tc>
            </w:tr>
            <w:tr w:rsidR="00EF3402" w:rsidRPr="00211235" w:rsidTr="0070590D">
              <w:trPr>
                <w:trHeight w:val="262"/>
              </w:trPr>
              <w:tc>
                <w:tcPr>
                  <w:tcW w:w="9913"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EF3402" w:rsidRPr="00771032" w:rsidRDefault="00EF3402" w:rsidP="0070590D">
                  <w:r w:rsidRPr="00771032">
                    <w:rPr>
                      <w:color w:val="000000"/>
                      <w:sz w:val="16"/>
                    </w:rPr>
                    <w:t>3 tikslas. Formuoti sveiką gyvenseną ir jos kultūrą</w:t>
                  </w:r>
                </w:p>
              </w:tc>
            </w:tr>
            <w:tr w:rsidR="00EF3402" w:rsidRPr="00211235" w:rsidTr="0070590D">
              <w:trPr>
                <w:trHeight w:val="262"/>
              </w:trPr>
              <w:tc>
                <w:tcPr>
                  <w:tcW w:w="9913"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rsidR="00EF3402" w:rsidRPr="00771032" w:rsidRDefault="00EF3402" w:rsidP="0070590D">
                  <w:r w:rsidRPr="00771032">
                    <w:rPr>
                      <w:color w:val="000000"/>
                      <w:sz w:val="16"/>
                    </w:rPr>
                    <w:t>3.1. Sumažinti alk. gėrimų, tabako, neteisėtą narkotinių ir psich. medžiagų vartojimą ir prieinamumą</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Mirt. nuo narkotikų sąlygotų priežasčių 100 000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74" name="Paveikslėlis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3.2</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3.2</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1.10</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2.9</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12.6</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73" name="Paveikslėlis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0.0</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SMR nuo narkotikų sąlygotų priežasčių  100 000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72" name="Paveikslėlis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4.1</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3.5</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1.37</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3.0</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16.2</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71" name="Paveikslėlis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0.0</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Mirt. nuo alkoholio sąlygotų priežasčių  100 000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70" name="Paveikslėlis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32.5</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10</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36.3</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1.63</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19.9</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79.5</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69" name="Paveikslėlis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0.0</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SMR nuo alkoholio sąlygotų priežasčių 100 000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68" name="Paveikslėlis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31.7</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10</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37.0</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1.65</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19.2</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71.4</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67" name="Paveikslėlis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0.0</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Nusikalstamos veikos, susijusios su narkotikais 100 000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66" name="Paveikslėlis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rsidR="00EF3402" w:rsidRPr="00771032" w:rsidRDefault="00EF3402" w:rsidP="0070590D">
                  <w:pPr>
                    <w:jc w:val="right"/>
                  </w:pPr>
                  <w:r w:rsidRPr="00771032">
                    <w:rPr>
                      <w:color w:val="000000"/>
                      <w:sz w:val="16"/>
                    </w:rPr>
                    <w:t>121.2</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121</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78.3</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1.64</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74.1</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352.2</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65" name="Paveikslėlis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0.0</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lastRenderedPageBreak/>
                    <w:t>Gyv. sk., tenkantis 1 tabako licencijai</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52400" cy="161925"/>
                        <wp:effectExtent l="0" t="0" r="0" b="9525"/>
                        <wp:docPr id="64" name="Paveikslėlis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rsidR="00EF3402" w:rsidRPr="00771032" w:rsidRDefault="00EF3402" w:rsidP="0070590D">
                  <w:pPr>
                    <w:jc w:val="right"/>
                  </w:pPr>
                  <w:r w:rsidRPr="00771032">
                    <w:rPr>
                      <w:color w:val="000000"/>
                      <w:sz w:val="16"/>
                    </w:rPr>
                    <w:t>138.6</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30776</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138.5</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0.70</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199.2</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70.1</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63" name="Paveikslėlis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395.0</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Gyv. sk., tenkantis 1 alkoholio licencijai</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52400" cy="161925"/>
                        <wp:effectExtent l="0" t="0" r="0" b="9525"/>
                        <wp:docPr id="62" name="Paveikslėlis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rsidR="00EF3402" w:rsidRPr="00771032" w:rsidRDefault="00EF3402" w:rsidP="0070590D">
                  <w:pPr>
                    <w:jc w:val="right"/>
                  </w:pPr>
                  <w:r w:rsidRPr="00771032">
                    <w:rPr>
                      <w:color w:val="000000"/>
                      <w:sz w:val="16"/>
                    </w:rPr>
                    <w:t>120.7</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30776</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121.7</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0.70</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171.3</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49.9</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61" name="Paveikslėlis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374.3</w:t>
                  </w:r>
                </w:p>
              </w:tc>
            </w:tr>
            <w:tr w:rsidR="00EF3402" w:rsidRPr="00211235" w:rsidTr="0070590D">
              <w:trPr>
                <w:trHeight w:val="262"/>
              </w:trPr>
              <w:tc>
                <w:tcPr>
                  <w:tcW w:w="9913"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rsidR="00EF3402" w:rsidRPr="00771032" w:rsidRDefault="00EF3402" w:rsidP="0070590D">
                  <w:r w:rsidRPr="00771032">
                    <w:rPr>
                      <w:color w:val="000000"/>
                      <w:sz w:val="16"/>
                    </w:rPr>
                    <w:t>3.2. Skatinti sveikos mitybos įpročius</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Kūdikių, žindytų išimtinai krūtimi iki 6 mėn. amžiaus, dalis (proc.)</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60" name="Paveikslėlis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27.1</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68</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25.3</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0.72</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37.8</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6.6</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59" name="Paveikslėlis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62.1</w:t>
                  </w:r>
                </w:p>
              </w:tc>
            </w:tr>
            <w:tr w:rsidR="00EF3402" w:rsidRPr="00211235" w:rsidTr="0070590D">
              <w:trPr>
                <w:trHeight w:val="262"/>
              </w:trPr>
              <w:tc>
                <w:tcPr>
                  <w:tcW w:w="9913"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EF3402" w:rsidRPr="00771032" w:rsidRDefault="00EF3402" w:rsidP="0070590D">
                  <w:r w:rsidRPr="00771032">
                    <w:rPr>
                      <w:color w:val="000000"/>
                      <w:sz w:val="16"/>
                    </w:rPr>
                    <w:t>4 tikslas. Užtikrinti kokybišką ir efektyvią sveikatos priežiūrą, orientuotą į gyventojų poreikius</w:t>
                  </w:r>
                </w:p>
              </w:tc>
            </w:tr>
            <w:tr w:rsidR="00EF3402" w:rsidRPr="00211235" w:rsidTr="0070590D">
              <w:trPr>
                <w:trHeight w:val="262"/>
              </w:trPr>
              <w:tc>
                <w:tcPr>
                  <w:tcW w:w="9913"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rsidR="00EF3402" w:rsidRPr="00771032" w:rsidRDefault="00EF3402" w:rsidP="0070590D">
                  <w:r w:rsidRPr="00771032">
                    <w:rPr>
                      <w:color w:val="000000"/>
                      <w:sz w:val="16"/>
                    </w:rPr>
                    <w:t>4.1. Užtikrinti sveikatos sistemos tvarumą ir kokybę, plėtojant sveikatos technologijas, kurių efektyvumas pagrįstas mokslo įrodymais</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Išvengiamų hospitalizacijų (IH) sk. 1 000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58" name="Paveikslėlis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rsidR="00EF3402" w:rsidRPr="00771032" w:rsidRDefault="00EF3402" w:rsidP="0070590D">
                  <w:pPr>
                    <w:jc w:val="right"/>
                  </w:pPr>
                  <w:r w:rsidRPr="00771032">
                    <w:rPr>
                      <w:color w:val="000000"/>
                      <w:sz w:val="16"/>
                    </w:rPr>
                    <w:t>52.8</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1625</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52.1</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1.68</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31.4</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56.8</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57" name="Paveikslėlis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15.5</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8034A8" w:rsidRDefault="00EF3402" w:rsidP="0070590D">
                  <w:pPr>
                    <w:rPr>
                      <w:lang w:val="pl-PL"/>
                    </w:rPr>
                  </w:pPr>
                  <w:r w:rsidRPr="008034A8">
                    <w:rPr>
                      <w:color w:val="000000"/>
                      <w:sz w:val="16"/>
                      <w:lang w:val="pl-PL"/>
                    </w:rPr>
                    <w:t>IH dėl cukrinio diabeto sk. 18+ m. 1 000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52400" cy="161925"/>
                        <wp:effectExtent l="0" t="0" r="0" b="9525"/>
                        <wp:docPr id="56" name="Paveikslėlis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7.9</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196</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7.4</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1.13</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7.0</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10.5</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55" name="Paveikslėlis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3.4</w:t>
                  </w:r>
                </w:p>
              </w:tc>
            </w:tr>
            <w:tr w:rsidR="00EF3402" w:rsidRPr="00211235" w:rsidTr="0070590D">
              <w:trPr>
                <w:trHeight w:val="262"/>
              </w:trPr>
              <w:tc>
                <w:tcPr>
                  <w:tcW w:w="9913"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rsidR="00EF3402" w:rsidRPr="00771032" w:rsidRDefault="00EF3402" w:rsidP="0070590D">
                  <w:r w:rsidRPr="00771032">
                    <w:rPr>
                      <w:color w:val="000000"/>
                      <w:sz w:val="16"/>
                    </w:rPr>
                    <w:t>4.2. Plėtoti sveikatos infrastuktūrą ir gerinti sveikatos priežiūros paslaugų kokybę, saugą, prieinamumą ir į pacientą orientuotą sveikatos priežiūrą</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Slaugytojų, tenkančių vienam gydytojui, sk.</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52400" cy="161925"/>
                        <wp:effectExtent l="0" t="0" r="0" b="9525"/>
                        <wp:docPr id="54" name="Paveikslėlis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2.9</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138</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2.8</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1.71</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1.7</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1.1</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53" name="Paveikslėlis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6.0</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Šeimos gydytojų sk. 10 000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52400" cy="161925"/>
                        <wp:effectExtent l="0" t="0" r="0" b="9525"/>
                        <wp:docPr id="52" name="Paveikslėlis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5.2</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16</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5.2</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0.72</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7.2</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2.5</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51" name="Paveikslėlis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13.8</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Apsilankymų pas gydytojus sk. 1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52400" cy="161925"/>
                        <wp:effectExtent l="0" t="0" r="0" b="9525"/>
                        <wp:docPr id="50" name="Paveikslėlis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rsidR="00EF3402" w:rsidRPr="00771032" w:rsidRDefault="00EF3402" w:rsidP="0070590D">
                  <w:pPr>
                    <w:jc w:val="right"/>
                  </w:pPr>
                  <w:r w:rsidRPr="00771032">
                    <w:rPr>
                      <w:color w:val="000000"/>
                      <w:sz w:val="16"/>
                    </w:rPr>
                    <w:t>7.4</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228550</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7.3</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0.81</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9.1</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11.2</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49" name="Paveikslėlis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6.4</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Sergamumas vaistams atsparia tuberkulioze (A15-A19) (visi) 10 000 gyv. (TB registro duomenys)</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48" name="Paveikslėli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rsidR="00EF3402" w:rsidRPr="00771032" w:rsidRDefault="00EF3402" w:rsidP="0070590D">
                  <w:pPr>
                    <w:jc w:val="right"/>
                  </w:pPr>
                  <w:r w:rsidRPr="00771032">
                    <w:rPr>
                      <w:color w:val="000000"/>
                      <w:sz w:val="16"/>
                    </w:rPr>
                    <w:t>1.3</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4</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1.1</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2.17</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0.6</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1.4</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47" name="Paveikslėlis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0.0</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Serg. vaistams atsparia tuberkulioze (A15-A19) 100 000 gyv. (TB registro duomenys)</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46" name="Paveikslėlis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rsidR="00EF3402" w:rsidRPr="00771032" w:rsidRDefault="00EF3402" w:rsidP="0070590D">
                  <w:pPr>
                    <w:jc w:val="right"/>
                  </w:pPr>
                  <w:r w:rsidRPr="00771032">
                    <w:rPr>
                      <w:color w:val="000000"/>
                      <w:sz w:val="16"/>
                    </w:rPr>
                    <w:t>0.6</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0.4</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2.00</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0.3</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1.3</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45" name="Paveikslėlis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0.0</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8034A8" w:rsidRDefault="00EF3402" w:rsidP="0070590D">
                  <w:pPr>
                    <w:rPr>
                      <w:lang w:val="pl-PL"/>
                    </w:rPr>
                  </w:pPr>
                  <w:r w:rsidRPr="008034A8">
                    <w:rPr>
                      <w:color w:val="000000"/>
                      <w:sz w:val="16"/>
                      <w:lang w:val="pl-PL"/>
                    </w:rPr>
                    <w:t>Serg. ŽIV ir LPL (B20-B24, Z21, A50-A54, A56) 10 000 gyv. (ULAC duomenys)</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44" name="Paveikslėli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1.0</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2.8</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0.50</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2.0</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4.9</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43" name="Paveikslėlis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0.0</w:t>
                  </w:r>
                </w:p>
              </w:tc>
            </w:tr>
            <w:tr w:rsidR="00EF3402" w:rsidRPr="00211235" w:rsidTr="0070590D">
              <w:trPr>
                <w:trHeight w:val="262"/>
              </w:trPr>
              <w:tc>
                <w:tcPr>
                  <w:tcW w:w="9913"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rsidR="00EF3402" w:rsidRPr="00771032" w:rsidRDefault="00EF3402" w:rsidP="0070590D">
                  <w:r w:rsidRPr="00771032">
                    <w:rPr>
                      <w:color w:val="000000"/>
                      <w:sz w:val="16"/>
                    </w:rPr>
                    <w:t>4.3. Pagerinti motinos ir vaiko sveikatą</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Kūdikių mirtingumas 1000 gyvų gimusių</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42" name="Paveikslėli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rsidR="00EF3402" w:rsidRPr="00771032" w:rsidRDefault="00EF3402" w:rsidP="0070590D">
                  <w:pPr>
                    <w:jc w:val="right"/>
                  </w:pPr>
                  <w:r w:rsidRPr="00771032">
                    <w:rPr>
                      <w:color w:val="000000"/>
                      <w:sz w:val="16"/>
                    </w:rPr>
                    <w:t>11.6</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6.8</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3.52</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3.3</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16.7</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41" name="Paveikslėlis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0.0</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2 m. vaikų tymų, epideminio parotito, raudonukės (1 dozė) skiepijimo apimtys, %</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40" name="Paveikslėli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rsidR="00EF3402" w:rsidRPr="00771032" w:rsidRDefault="00EF3402" w:rsidP="0070590D">
                  <w:pPr>
                    <w:jc w:val="right"/>
                  </w:pPr>
                  <w:r w:rsidRPr="00771032">
                    <w:rPr>
                      <w:color w:val="000000"/>
                      <w:sz w:val="16"/>
                    </w:rPr>
                    <w:t>66.8</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214</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75.8</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0.67</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99.2</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20.3</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39" name="Paveikslėlis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4484.3</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1 m. vaikų difterijos, stabligės, kokliušo, poliomielito, Haemophilus influenzae B skiepijimo apimtys (3 dozės), %</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52400" cy="161925"/>
                        <wp:effectExtent l="0" t="0" r="0" b="9525"/>
                        <wp:docPr id="38" name="Paveikslėli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rsidR="00EF3402" w:rsidRPr="00771032" w:rsidRDefault="00EF3402" w:rsidP="0070590D">
                  <w:pPr>
                    <w:jc w:val="right"/>
                  </w:pPr>
                  <w:r w:rsidRPr="00771032">
                    <w:rPr>
                      <w:color w:val="000000"/>
                      <w:sz w:val="16"/>
                    </w:rPr>
                    <w:t>100.0</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244</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85.2</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1.09</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91.9</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66.7</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37" name="Paveikslėli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100.0</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Vaikų (6-14 m.) dalis, dalyvavusi dantų dengimo silantinėmis medžiagomis programoje, %</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36" name="Paveikslėli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19.3</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534</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18.4</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1.29</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15.0</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1.6</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35" name="Paveikslėli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57.0</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Vaikų, neturinčių ėduonies pažeistų, plombuotų ir išrautų dantų, dalis (proc. )</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34" name="Paveikslėli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17.0</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536</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13.1</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0.82</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20.7</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9.8</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33" name="Paveikslėli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32.3</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lastRenderedPageBreak/>
                    <w:t>Paauglių (15–17 m.) gimdymų sk. 1000 15-17 m. moterų</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32" name="Paveikslėli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4.1</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4.0</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1.05</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3.9</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14.0</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31" name="Paveikslėli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0.0</w:t>
                  </w:r>
                </w:p>
              </w:tc>
            </w:tr>
            <w:tr w:rsidR="00EF3402" w:rsidRPr="00211235" w:rsidTr="0070590D">
              <w:trPr>
                <w:trHeight w:val="262"/>
              </w:trPr>
              <w:tc>
                <w:tcPr>
                  <w:tcW w:w="9913"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rsidR="00EF3402" w:rsidRPr="00771032" w:rsidRDefault="00EF3402" w:rsidP="0070590D">
                  <w:r w:rsidRPr="00771032">
                    <w:rPr>
                      <w:color w:val="000000"/>
                      <w:sz w:val="16"/>
                    </w:rPr>
                    <w:t>4.4. Stiprinti lėtinių neinfekcinių ligų prevenciją ir kontrolę</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Mirt. nuo kraujotakos sist. ligų (I00-I99) 100 000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52400" cy="161925"/>
                        <wp:effectExtent l="0" t="0" r="0" b="9525"/>
                        <wp:docPr id="30" name="Paveikslėli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978.0</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301</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953.4</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1.31</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748.0</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1466.6</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29" name="Paveikslėli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400.8</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SMR nuo kraujotakos sist. ligų (I00-I99) 100 000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28" name="Paveikslėli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rsidR="00EF3402" w:rsidRPr="00771032" w:rsidRDefault="00EF3402" w:rsidP="0070590D">
                  <w:pPr>
                    <w:jc w:val="right"/>
                  </w:pPr>
                  <w:r w:rsidRPr="00771032">
                    <w:rPr>
                      <w:color w:val="000000"/>
                      <w:sz w:val="16"/>
                    </w:rPr>
                    <w:t>1238.2</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301</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1250.4</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1.69</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733.0</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1467.1</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27" name="Paveikslėli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575.7</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Mirt. nuo piktybinių navikų  (C00-C96) 100 000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26" name="Paveikslėli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337.9</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104</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321.3</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1.17</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287.8</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439.9</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25"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199.4</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SMR nuo piktybinių navikų (C00-C96) 100 000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24" name="Paveikslėli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rsidR="00EF3402" w:rsidRPr="00771032" w:rsidRDefault="00EF3402" w:rsidP="0070590D">
                  <w:pPr>
                    <w:jc w:val="right"/>
                  </w:pPr>
                  <w:r w:rsidRPr="00771032">
                    <w:rPr>
                      <w:color w:val="000000"/>
                      <w:sz w:val="16"/>
                    </w:rPr>
                    <w:t>366.2</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113</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342.6</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1.34</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273.5</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366.2</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23"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210.0</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Mirt. nuo cerebrovaskulinių ligų  (I60-I69) 100 000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52400" cy="161925"/>
                        <wp:effectExtent l="0" t="0" r="0" b="9525"/>
                        <wp:docPr id="22" name="Paveikslėli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214.5</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66</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197.0</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1.22</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176.1</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568.2</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21"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28.6</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SMR nuo cerebrovaskulinių ligų (I60-I69) 100 000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20" name="Paveikslėli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rsidR="00EF3402" w:rsidRPr="00771032" w:rsidRDefault="00EF3402" w:rsidP="0070590D">
                  <w:pPr>
                    <w:jc w:val="right"/>
                  </w:pPr>
                  <w:r w:rsidRPr="00771032">
                    <w:rPr>
                      <w:color w:val="000000"/>
                      <w:sz w:val="16"/>
                    </w:rPr>
                    <w:t>248.3</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66</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251.4</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1.44</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172.4</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455.9</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19"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48.1</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8034A8" w:rsidRDefault="00EF3402" w:rsidP="0070590D">
                  <w:pPr>
                    <w:rPr>
                      <w:lang w:val="pl-PL"/>
                    </w:rPr>
                  </w:pPr>
                  <w:r w:rsidRPr="008034A8">
                    <w:rPr>
                      <w:color w:val="000000"/>
                      <w:sz w:val="16"/>
                      <w:lang w:val="pl-PL"/>
                    </w:rPr>
                    <w:t>Serg. II tipo cukriniu diabetu (E11) 10 000 gyv.</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70.8</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218</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65.6</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1.16</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61.2</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106.8</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29.4</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Tikslinės populiacijos dalis %, 2 metų bėgyje dalyvavusi krūties vėžio programoje</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45.7</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2079</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32.4</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0.86</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52.9</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18.4</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73.2</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Tikslinės populiacijos dalis %, 3 metų bėgyje dalyvavusi gimdos kaklelio programoje</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55.4</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4025</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49.4</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0.98</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56.4</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31.3</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78.8</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Tikslinės populiacijos dalis %, 2 metų bėgyje dalyvavusi storosios žarnos vėžio programoje</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rsidR="00EF3402" w:rsidRPr="00771032" w:rsidRDefault="00EF3402" w:rsidP="0070590D">
                  <w:pPr>
                    <w:jc w:val="right"/>
                  </w:pPr>
                  <w:r w:rsidRPr="00771032">
                    <w:rPr>
                      <w:color w:val="000000"/>
                      <w:sz w:val="16"/>
                    </w:rPr>
                    <w:t>55.8</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5291</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38.6</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0.99</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56.3</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32.3</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69.4</w:t>
                  </w:r>
                </w:p>
              </w:tc>
            </w:tr>
            <w:tr w:rsidR="00EF3402" w:rsidRPr="00211235" w:rsidTr="0070590D">
              <w:trPr>
                <w:trHeight w:val="375"/>
              </w:trPr>
              <w:tc>
                <w:tcPr>
                  <w:tcW w:w="1605"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rsidR="00EF3402" w:rsidRPr="00771032" w:rsidRDefault="00EF3402" w:rsidP="0070590D">
                  <w:r w:rsidRPr="00771032">
                    <w:rPr>
                      <w:color w:val="000000"/>
                      <w:sz w:val="16"/>
                    </w:rPr>
                    <w:t>Tikslinės populiacijos dalis %, dalyvavusi ŠKL programoje</w:t>
                  </w:r>
                </w:p>
              </w:tc>
              <w:tc>
                <w:tcPr>
                  <w:tcW w:w="9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r w:rsidRPr="00771032">
                    <w:rPr>
                      <w:lang w:eastAsia="lt-LT"/>
                    </w:rPr>
                    <w:drawing>
                      <wp:inline distT="0" distB="0" distL="0" distR="0">
                        <wp:extent cx="133350" cy="161925"/>
                        <wp:effectExtent l="0" t="0" r="0" b="952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709"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rsidR="00EF3402" w:rsidRPr="00771032" w:rsidRDefault="00EF3402" w:rsidP="0070590D">
                  <w:pPr>
                    <w:jc w:val="right"/>
                  </w:pPr>
                  <w:r w:rsidRPr="00771032">
                    <w:rPr>
                      <w:color w:val="000000"/>
                      <w:sz w:val="16"/>
                    </w:rPr>
                    <w:t>42.6</w:t>
                  </w:r>
                </w:p>
              </w:tc>
              <w:tc>
                <w:tcPr>
                  <w:tcW w:w="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2957</w:t>
                  </w:r>
                </w:p>
              </w:tc>
              <w:tc>
                <w:tcPr>
                  <w:tcW w:w="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36.9</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0.88</w:t>
                  </w:r>
                </w:p>
              </w:tc>
              <w:tc>
                <w:tcPr>
                  <w:tcW w:w="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48.2</w:t>
                  </w:r>
                </w:p>
              </w:tc>
              <w:tc>
                <w:tcPr>
                  <w:tcW w:w="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F3402" w:rsidRPr="00771032" w:rsidRDefault="00EF3402" w:rsidP="0070590D">
                  <w:pPr>
                    <w:jc w:val="right"/>
                  </w:pPr>
                  <w:r w:rsidRPr="00771032">
                    <w:rPr>
                      <w:color w:val="000000"/>
                      <w:sz w:val="16"/>
                    </w:rPr>
                    <w:t>28.2</w:t>
                  </w:r>
                </w:p>
              </w:tc>
              <w:tc>
                <w:tcPr>
                  <w:tcW w:w="3136"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rsidR="00EF3402" w:rsidRPr="00771032" w:rsidRDefault="00EF3402" w:rsidP="0070590D">
                  <w:r w:rsidRPr="00771032">
                    <w:rPr>
                      <w:lang w:eastAsia="lt-LT"/>
                    </w:rPr>
                    <w:drawing>
                      <wp:inline distT="0" distB="0" distL="0" distR="0">
                        <wp:extent cx="2009775" cy="285750"/>
                        <wp:effectExtent l="0" t="0" r="9525"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c>
              <w:tc>
                <w:tcPr>
                  <w:tcW w:w="511"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rsidR="00EF3402" w:rsidRPr="00771032" w:rsidRDefault="00EF3402" w:rsidP="0070590D">
                  <w:pPr>
                    <w:jc w:val="right"/>
                  </w:pPr>
                  <w:r w:rsidRPr="00771032">
                    <w:rPr>
                      <w:color w:val="000000"/>
                      <w:sz w:val="16"/>
                    </w:rPr>
                    <w:t>66.3</w:t>
                  </w:r>
                </w:p>
              </w:tc>
            </w:tr>
          </w:tbl>
          <w:p w:rsidR="00EF3402" w:rsidRPr="0058256B" w:rsidRDefault="00EF3402" w:rsidP="0070590D">
            <w:pPr>
              <w:rPr>
                <w:vanish/>
              </w:rPr>
            </w:pPr>
          </w:p>
          <w:tbl>
            <w:tblPr>
              <w:tblpPr w:leftFromText="180" w:rightFromText="180" w:vertAnchor="text" w:horzAnchor="margin" w:tblpY="133"/>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63"/>
              <w:gridCol w:w="336"/>
              <w:gridCol w:w="270"/>
              <w:gridCol w:w="1090"/>
              <w:gridCol w:w="240"/>
              <w:gridCol w:w="970"/>
              <w:gridCol w:w="240"/>
              <w:gridCol w:w="1037"/>
              <w:gridCol w:w="336"/>
              <w:gridCol w:w="336"/>
              <w:gridCol w:w="36"/>
            </w:tblGrid>
            <w:tr w:rsidR="00EF3402" w:rsidRPr="00771032" w:rsidTr="0070590D">
              <w:tc>
                <w:tcPr>
                  <w:tcW w:w="0" w:type="auto"/>
                  <w:shd w:val="clear" w:color="auto" w:fill="FFFFFF"/>
                  <w:vAlign w:val="center"/>
                  <w:hideMark/>
                </w:tcPr>
                <w:p w:rsidR="00EF3402" w:rsidRPr="00771032" w:rsidRDefault="00EF3402" w:rsidP="0070590D">
                  <w:pPr>
                    <w:rPr>
                      <w:color w:val="000000"/>
                      <w:lang w:eastAsia="lt-LT"/>
                    </w:rPr>
                  </w:pPr>
                  <w:r w:rsidRPr="00771032">
                    <w:rPr>
                      <w:color w:val="000000"/>
                      <w:lang w:eastAsia="lt-LT"/>
                    </w:rPr>
                    <w:t>Tendencija:</w:t>
                  </w:r>
                </w:p>
              </w:tc>
              <w:tc>
                <w:tcPr>
                  <w:tcW w:w="0" w:type="auto"/>
                  <w:shd w:val="clear" w:color="auto" w:fill="FFFFFF"/>
                  <w:tcMar>
                    <w:top w:w="15" w:type="dxa"/>
                    <w:left w:w="120" w:type="dxa"/>
                    <w:bottom w:w="15" w:type="dxa"/>
                    <w:right w:w="210" w:type="dxa"/>
                  </w:tcMar>
                  <w:vAlign w:val="center"/>
                  <w:hideMark/>
                </w:tcPr>
                <w:p w:rsidR="00EF3402" w:rsidRPr="00771032" w:rsidRDefault="00EF3402" w:rsidP="0070590D">
                  <w:pPr>
                    <w:rPr>
                      <w:color w:val="000000"/>
                      <w:lang w:eastAsia="lt-LT"/>
                    </w:rPr>
                  </w:pPr>
                </w:p>
              </w:tc>
              <w:tc>
                <w:tcPr>
                  <w:tcW w:w="0" w:type="auto"/>
                  <w:shd w:val="clear" w:color="auto" w:fill="FFFFFF"/>
                  <w:vAlign w:val="center"/>
                  <w:hideMark/>
                </w:tcPr>
                <w:p w:rsidR="00EF3402" w:rsidRPr="00771032" w:rsidRDefault="00EA23ED" w:rsidP="0070590D">
                  <w:pPr>
                    <w:rPr>
                      <w:color w:val="000000"/>
                      <w:lang w:eastAsia="lt-LT"/>
                    </w:rPr>
                  </w:pPr>
                  <w:r w:rsidRPr="00771032">
                    <w:rPr>
                      <w:color w:val="000000"/>
                      <w:lang w:eastAsia="lt-LT"/>
                    </w:rPr>
                    <w:fldChar w:fldCharType="begin"/>
                  </w:r>
                  <w:r w:rsidR="00EF3402" w:rsidRPr="00771032">
                    <w:rPr>
                      <w:color w:val="000000"/>
                      <w:lang w:eastAsia="lt-LT"/>
                    </w:rPr>
                    <w:instrText xml:space="preserve"> INCLUDEPICTURE "https://sveikstat.hi.lt/assets/charts/no_change.png" \* MERGEFORMATINET </w:instrText>
                  </w:r>
                  <w:r w:rsidRPr="00771032">
                    <w:rPr>
                      <w:color w:val="000000"/>
                      <w:lang w:eastAsia="lt-LT"/>
                    </w:rPr>
                    <w:fldChar w:fldCharType="separate"/>
                  </w:r>
                  <w:r w:rsidR="00180A9A">
                    <w:rPr>
                      <w:color w:val="000000"/>
                      <w:lang w:eastAsia="lt-LT"/>
                    </w:rPr>
                    <w:fldChar w:fldCharType="begin"/>
                  </w:r>
                  <w:r w:rsidR="00180A9A">
                    <w:rPr>
                      <w:color w:val="000000"/>
                      <w:lang w:eastAsia="lt-LT"/>
                    </w:rPr>
                    <w:instrText xml:space="preserve"> </w:instrText>
                  </w:r>
                  <w:r w:rsidR="00180A9A">
                    <w:rPr>
                      <w:color w:val="000000"/>
                      <w:lang w:eastAsia="lt-LT"/>
                    </w:rPr>
                    <w:instrText>INCLUDEPICTURE  "https://sveikstat.hi.lt/assets/charts/no_change.png" \* MERGEFORMATINET</w:instrText>
                  </w:r>
                  <w:r w:rsidR="00180A9A">
                    <w:rPr>
                      <w:color w:val="000000"/>
                      <w:lang w:eastAsia="lt-LT"/>
                    </w:rPr>
                    <w:instrText xml:space="preserve"> </w:instrText>
                  </w:r>
                  <w:r w:rsidR="00180A9A">
                    <w:rPr>
                      <w:color w:val="000000"/>
                      <w:lang w:eastAsia="lt-LT"/>
                    </w:rPr>
                    <w:fldChar w:fldCharType="separate"/>
                  </w:r>
                  <w:r w:rsidR="00180A9A">
                    <w:rPr>
                      <w:color w:val="000000"/>
                      <w:lang w:eastAsia="lt-LT"/>
                    </w:rPr>
                    <w:pict>
                      <v:shape id="_x0000_i1026" type="#_x0000_t75" style="width:12pt;height:12.75pt">
                        <v:imagedata r:id="rId72" r:href="rId73"/>
                      </v:shape>
                    </w:pict>
                  </w:r>
                  <w:r w:rsidR="00180A9A">
                    <w:rPr>
                      <w:color w:val="000000"/>
                      <w:lang w:eastAsia="lt-LT"/>
                    </w:rPr>
                    <w:fldChar w:fldCharType="end"/>
                  </w:r>
                  <w:r w:rsidRPr="00771032">
                    <w:rPr>
                      <w:color w:val="000000"/>
                      <w:lang w:eastAsia="lt-LT"/>
                    </w:rPr>
                    <w:fldChar w:fldCharType="end"/>
                  </w:r>
                </w:p>
              </w:tc>
              <w:tc>
                <w:tcPr>
                  <w:tcW w:w="0" w:type="auto"/>
                  <w:shd w:val="clear" w:color="auto" w:fill="FFFFFF"/>
                  <w:tcMar>
                    <w:top w:w="15" w:type="dxa"/>
                    <w:left w:w="120" w:type="dxa"/>
                    <w:bottom w:w="15" w:type="dxa"/>
                    <w:right w:w="210" w:type="dxa"/>
                  </w:tcMar>
                  <w:vAlign w:val="center"/>
                  <w:hideMark/>
                </w:tcPr>
                <w:p w:rsidR="00EF3402" w:rsidRPr="00771032" w:rsidRDefault="00EF3402" w:rsidP="0070590D">
                  <w:pPr>
                    <w:rPr>
                      <w:color w:val="000000"/>
                      <w:lang w:eastAsia="lt-LT"/>
                    </w:rPr>
                  </w:pPr>
                  <w:r w:rsidRPr="00771032">
                    <w:rPr>
                      <w:color w:val="000000"/>
                      <w:lang w:eastAsia="lt-LT"/>
                    </w:rPr>
                    <w:t>Nekinta</w:t>
                  </w:r>
                </w:p>
              </w:tc>
              <w:tc>
                <w:tcPr>
                  <w:tcW w:w="0" w:type="auto"/>
                  <w:shd w:val="clear" w:color="auto" w:fill="FFFFFF"/>
                  <w:vAlign w:val="center"/>
                  <w:hideMark/>
                </w:tcPr>
                <w:p w:rsidR="00EF3402" w:rsidRPr="00771032" w:rsidRDefault="00EA23ED" w:rsidP="0070590D">
                  <w:pPr>
                    <w:rPr>
                      <w:color w:val="000000"/>
                      <w:lang w:eastAsia="lt-LT"/>
                    </w:rPr>
                  </w:pPr>
                  <w:r w:rsidRPr="00771032">
                    <w:rPr>
                      <w:color w:val="000000"/>
                      <w:lang w:eastAsia="lt-LT"/>
                    </w:rPr>
                    <w:fldChar w:fldCharType="begin"/>
                  </w:r>
                  <w:r w:rsidR="00EF3402" w:rsidRPr="00771032">
                    <w:rPr>
                      <w:color w:val="000000"/>
                      <w:lang w:eastAsia="lt-LT"/>
                    </w:rPr>
                    <w:instrText xml:space="preserve"> INCLUDEPICTURE "https://sveikstat.hi.lt/assets/charts/up.png" \* MERGEFORMATINET </w:instrText>
                  </w:r>
                  <w:r w:rsidRPr="00771032">
                    <w:rPr>
                      <w:color w:val="000000"/>
                      <w:lang w:eastAsia="lt-LT"/>
                    </w:rPr>
                    <w:fldChar w:fldCharType="separate"/>
                  </w:r>
                  <w:r w:rsidR="00180A9A">
                    <w:rPr>
                      <w:color w:val="000000"/>
                      <w:lang w:eastAsia="lt-LT"/>
                    </w:rPr>
                    <w:fldChar w:fldCharType="begin"/>
                  </w:r>
                  <w:r w:rsidR="00180A9A">
                    <w:rPr>
                      <w:color w:val="000000"/>
                      <w:lang w:eastAsia="lt-LT"/>
                    </w:rPr>
                    <w:instrText xml:space="preserve"> </w:instrText>
                  </w:r>
                  <w:r w:rsidR="00180A9A">
                    <w:rPr>
                      <w:color w:val="000000"/>
                      <w:lang w:eastAsia="lt-LT"/>
                    </w:rPr>
                    <w:instrText>INCLUDEPICTURE  "https://sveikstat.hi.lt/assets/charts/up.png" \* MERGEFORMATINET</w:instrText>
                  </w:r>
                  <w:r w:rsidR="00180A9A">
                    <w:rPr>
                      <w:color w:val="000000"/>
                      <w:lang w:eastAsia="lt-LT"/>
                    </w:rPr>
                    <w:instrText xml:space="preserve"> </w:instrText>
                  </w:r>
                  <w:r w:rsidR="00180A9A">
                    <w:rPr>
                      <w:color w:val="000000"/>
                      <w:lang w:eastAsia="lt-LT"/>
                    </w:rPr>
                    <w:fldChar w:fldCharType="separate"/>
                  </w:r>
                  <w:r w:rsidR="00180A9A">
                    <w:rPr>
                      <w:color w:val="000000"/>
                      <w:lang w:eastAsia="lt-LT"/>
                    </w:rPr>
                    <w:pict>
                      <v:shape id="_x0000_i1027" type="#_x0000_t75" style="width:10.5pt;height:12.75pt">
                        <v:imagedata r:id="rId74" r:href="rId75"/>
                      </v:shape>
                    </w:pict>
                  </w:r>
                  <w:r w:rsidR="00180A9A">
                    <w:rPr>
                      <w:color w:val="000000"/>
                      <w:lang w:eastAsia="lt-LT"/>
                    </w:rPr>
                    <w:fldChar w:fldCharType="end"/>
                  </w:r>
                  <w:r w:rsidRPr="00771032">
                    <w:rPr>
                      <w:color w:val="000000"/>
                      <w:lang w:eastAsia="lt-LT"/>
                    </w:rPr>
                    <w:fldChar w:fldCharType="end"/>
                  </w:r>
                </w:p>
              </w:tc>
              <w:tc>
                <w:tcPr>
                  <w:tcW w:w="0" w:type="auto"/>
                  <w:shd w:val="clear" w:color="auto" w:fill="FFFFFF"/>
                  <w:tcMar>
                    <w:top w:w="15" w:type="dxa"/>
                    <w:left w:w="120" w:type="dxa"/>
                    <w:bottom w:w="15" w:type="dxa"/>
                    <w:right w:w="210" w:type="dxa"/>
                  </w:tcMar>
                  <w:vAlign w:val="center"/>
                  <w:hideMark/>
                </w:tcPr>
                <w:p w:rsidR="00EF3402" w:rsidRPr="00771032" w:rsidRDefault="00EF3402" w:rsidP="0070590D">
                  <w:pPr>
                    <w:rPr>
                      <w:color w:val="000000"/>
                      <w:lang w:eastAsia="lt-LT"/>
                    </w:rPr>
                  </w:pPr>
                  <w:r w:rsidRPr="00771032">
                    <w:rPr>
                      <w:color w:val="000000"/>
                      <w:lang w:eastAsia="lt-LT"/>
                    </w:rPr>
                    <w:t>Didėja</w:t>
                  </w:r>
                </w:p>
              </w:tc>
              <w:tc>
                <w:tcPr>
                  <w:tcW w:w="0" w:type="auto"/>
                  <w:shd w:val="clear" w:color="auto" w:fill="FFFFFF"/>
                  <w:vAlign w:val="center"/>
                  <w:hideMark/>
                </w:tcPr>
                <w:p w:rsidR="00EF3402" w:rsidRPr="00771032" w:rsidRDefault="00EA23ED" w:rsidP="0070590D">
                  <w:pPr>
                    <w:rPr>
                      <w:color w:val="000000"/>
                      <w:lang w:eastAsia="lt-LT"/>
                    </w:rPr>
                  </w:pPr>
                  <w:r w:rsidRPr="00771032">
                    <w:rPr>
                      <w:color w:val="000000"/>
                      <w:lang w:eastAsia="lt-LT"/>
                    </w:rPr>
                    <w:fldChar w:fldCharType="begin"/>
                  </w:r>
                  <w:r w:rsidR="00EF3402" w:rsidRPr="00771032">
                    <w:rPr>
                      <w:color w:val="000000"/>
                      <w:lang w:eastAsia="lt-LT"/>
                    </w:rPr>
                    <w:instrText xml:space="preserve"> INCLUDEPICTURE "https://sveikstat.hi.lt/assets/charts/down.png" \* MERGEFORMATINET </w:instrText>
                  </w:r>
                  <w:r w:rsidRPr="00771032">
                    <w:rPr>
                      <w:color w:val="000000"/>
                      <w:lang w:eastAsia="lt-LT"/>
                    </w:rPr>
                    <w:fldChar w:fldCharType="separate"/>
                  </w:r>
                  <w:r w:rsidR="00180A9A">
                    <w:rPr>
                      <w:color w:val="000000"/>
                      <w:lang w:eastAsia="lt-LT"/>
                    </w:rPr>
                    <w:fldChar w:fldCharType="begin"/>
                  </w:r>
                  <w:r w:rsidR="00180A9A">
                    <w:rPr>
                      <w:color w:val="000000"/>
                      <w:lang w:eastAsia="lt-LT"/>
                    </w:rPr>
                    <w:instrText xml:space="preserve"> </w:instrText>
                  </w:r>
                  <w:r w:rsidR="00180A9A">
                    <w:rPr>
                      <w:color w:val="000000"/>
                      <w:lang w:eastAsia="lt-LT"/>
                    </w:rPr>
                    <w:instrText>INCLUDEPICTURE  "https://sveikstat.hi.lt/assets/charts/down.png" \* MERGEF</w:instrText>
                  </w:r>
                  <w:r w:rsidR="00180A9A">
                    <w:rPr>
                      <w:color w:val="000000"/>
                      <w:lang w:eastAsia="lt-LT"/>
                    </w:rPr>
                    <w:instrText>ORMATINET</w:instrText>
                  </w:r>
                  <w:r w:rsidR="00180A9A">
                    <w:rPr>
                      <w:color w:val="000000"/>
                      <w:lang w:eastAsia="lt-LT"/>
                    </w:rPr>
                    <w:instrText xml:space="preserve"> </w:instrText>
                  </w:r>
                  <w:r w:rsidR="00180A9A">
                    <w:rPr>
                      <w:color w:val="000000"/>
                      <w:lang w:eastAsia="lt-LT"/>
                    </w:rPr>
                    <w:fldChar w:fldCharType="separate"/>
                  </w:r>
                  <w:r w:rsidR="00180A9A">
                    <w:rPr>
                      <w:color w:val="000000"/>
                      <w:lang w:eastAsia="lt-LT"/>
                    </w:rPr>
                    <w:pict>
                      <v:shape id="_x0000_i1028" type="#_x0000_t75" style="width:10.5pt;height:12.75pt">
                        <v:imagedata r:id="rId76" r:href="rId77"/>
                      </v:shape>
                    </w:pict>
                  </w:r>
                  <w:r w:rsidR="00180A9A">
                    <w:rPr>
                      <w:color w:val="000000"/>
                      <w:lang w:eastAsia="lt-LT"/>
                    </w:rPr>
                    <w:fldChar w:fldCharType="end"/>
                  </w:r>
                  <w:r w:rsidRPr="00771032">
                    <w:rPr>
                      <w:color w:val="000000"/>
                      <w:lang w:eastAsia="lt-LT"/>
                    </w:rPr>
                    <w:fldChar w:fldCharType="end"/>
                  </w:r>
                </w:p>
              </w:tc>
              <w:tc>
                <w:tcPr>
                  <w:tcW w:w="0" w:type="auto"/>
                  <w:shd w:val="clear" w:color="auto" w:fill="FFFFFF"/>
                  <w:tcMar>
                    <w:top w:w="15" w:type="dxa"/>
                    <w:left w:w="120" w:type="dxa"/>
                    <w:bottom w:w="15" w:type="dxa"/>
                    <w:right w:w="210" w:type="dxa"/>
                  </w:tcMar>
                  <w:vAlign w:val="center"/>
                  <w:hideMark/>
                </w:tcPr>
                <w:p w:rsidR="00EF3402" w:rsidRPr="00771032" w:rsidRDefault="00EF3402" w:rsidP="0070590D">
                  <w:pPr>
                    <w:rPr>
                      <w:color w:val="000000"/>
                      <w:lang w:eastAsia="lt-LT"/>
                    </w:rPr>
                  </w:pPr>
                  <w:r w:rsidRPr="00771032">
                    <w:rPr>
                      <w:color w:val="000000"/>
                      <w:lang w:eastAsia="lt-LT"/>
                    </w:rPr>
                    <w:t>Mažėja</w:t>
                  </w:r>
                  <w:r>
                    <w:rPr>
                      <w:color w:val="000000"/>
                      <w:lang w:eastAsia="lt-LT"/>
                    </w:rPr>
                    <w:t xml:space="preserve">   </w:t>
                  </w:r>
                </w:p>
              </w:tc>
              <w:tc>
                <w:tcPr>
                  <w:tcW w:w="0" w:type="auto"/>
                  <w:shd w:val="clear" w:color="auto" w:fill="FFFFFF"/>
                  <w:tcMar>
                    <w:top w:w="15" w:type="dxa"/>
                    <w:left w:w="120" w:type="dxa"/>
                    <w:bottom w:w="15" w:type="dxa"/>
                    <w:right w:w="210" w:type="dxa"/>
                  </w:tcMar>
                  <w:vAlign w:val="center"/>
                  <w:hideMark/>
                </w:tcPr>
                <w:p w:rsidR="00EF3402" w:rsidRPr="00771032" w:rsidRDefault="00EF3402" w:rsidP="0070590D">
                  <w:pPr>
                    <w:rPr>
                      <w:rFonts w:ascii="Arial" w:hAnsi="Arial" w:cs="Arial"/>
                      <w:color w:val="72747B"/>
                      <w:lang w:eastAsia="lt-LT"/>
                    </w:rPr>
                  </w:pPr>
                </w:p>
              </w:tc>
              <w:tc>
                <w:tcPr>
                  <w:tcW w:w="0" w:type="auto"/>
                  <w:shd w:val="clear" w:color="auto" w:fill="FFFFFF"/>
                  <w:tcMar>
                    <w:top w:w="15" w:type="dxa"/>
                    <w:left w:w="120" w:type="dxa"/>
                    <w:bottom w:w="15" w:type="dxa"/>
                    <w:right w:w="210" w:type="dxa"/>
                  </w:tcMar>
                  <w:vAlign w:val="center"/>
                  <w:hideMark/>
                </w:tcPr>
                <w:p w:rsidR="00EF3402" w:rsidRDefault="00EF3402" w:rsidP="0070590D">
                  <w:pPr>
                    <w:rPr>
                      <w:rFonts w:ascii="Arial" w:hAnsi="Arial" w:cs="Arial"/>
                      <w:color w:val="72747B"/>
                      <w:lang w:eastAsia="lt-LT"/>
                    </w:rPr>
                  </w:pPr>
                </w:p>
                <w:p w:rsidR="00EF3402" w:rsidRPr="00771032" w:rsidRDefault="00EF3402" w:rsidP="0070590D">
                  <w:pPr>
                    <w:rPr>
                      <w:rFonts w:ascii="Arial" w:hAnsi="Arial" w:cs="Arial"/>
                      <w:color w:val="72747B"/>
                      <w:lang w:eastAsia="lt-LT"/>
                    </w:rPr>
                  </w:pPr>
                </w:p>
              </w:tc>
              <w:tc>
                <w:tcPr>
                  <w:tcW w:w="0" w:type="auto"/>
                  <w:shd w:val="clear" w:color="auto" w:fill="FFFFFF"/>
                  <w:vAlign w:val="center"/>
                  <w:hideMark/>
                </w:tcPr>
                <w:p w:rsidR="00EF3402" w:rsidRPr="00771032" w:rsidRDefault="00EF3402" w:rsidP="0070590D">
                  <w:pPr>
                    <w:rPr>
                      <w:rFonts w:ascii="Arial" w:hAnsi="Arial" w:cs="Arial"/>
                      <w:color w:val="72747B"/>
                      <w:lang w:eastAsia="lt-LT"/>
                    </w:rPr>
                  </w:pPr>
                </w:p>
              </w:tc>
            </w:tr>
          </w:tbl>
          <w:p w:rsidR="00EF3402" w:rsidRPr="00211235" w:rsidRDefault="00EF3402" w:rsidP="0070590D"/>
        </w:tc>
      </w:tr>
    </w:tbl>
    <w:p w:rsidR="00EF3402" w:rsidRDefault="00EF3402" w:rsidP="00EF3402">
      <w:pPr>
        <w:jc w:val="both"/>
      </w:pPr>
    </w:p>
    <w:p w:rsidR="00EF3402" w:rsidRPr="00E557D6" w:rsidRDefault="00EF3402" w:rsidP="00EF3402">
      <w:pPr>
        <w:ind w:firstLine="1296"/>
        <w:jc w:val="both"/>
      </w:pPr>
      <w:r w:rsidRPr="006D0AF4">
        <w:t>Atsižvelgiant į LSS iškeltus uždavinius tikslams pasiekti bei remiantis</w:t>
      </w:r>
      <w:r>
        <w:t xml:space="preserve"> </w:t>
      </w:r>
      <w:r w:rsidRPr="00180A9A">
        <w:t>1</w:t>
      </w:r>
      <w:r w:rsidRPr="006D0AF4">
        <w:t xml:space="preserve"> lentelėje pateiktomis rodiklių reikšmėmis, matoma, kad:</w:t>
      </w:r>
    </w:p>
    <w:p w:rsidR="00EF3402" w:rsidRPr="006D0AF4" w:rsidRDefault="00EF3402" w:rsidP="00EF3402">
      <w:pPr>
        <w:spacing w:line="360" w:lineRule="auto"/>
        <w:jc w:val="both"/>
      </w:pPr>
      <w:r w:rsidRPr="006D0AF4">
        <w:t xml:space="preserve">1.1. </w:t>
      </w:r>
      <w:r w:rsidRPr="003C3C05">
        <w:t xml:space="preserve">Uždavinio </w:t>
      </w:r>
      <w:r w:rsidRPr="00E369B2">
        <w:rPr>
          <w:i/>
        </w:rPr>
        <w:t>„sumažinti skurdo lygį ir nedarbą</w:t>
      </w:r>
      <w:r w:rsidRPr="003C3C05">
        <w:rPr>
          <w:b/>
        </w:rPr>
        <w:t>“</w:t>
      </w:r>
      <w:r w:rsidRPr="006D0AF4">
        <w:t xml:space="preserve"> visi rodikliai savivaldybėje ryškiai nesiskiria nuo Lietuvos vidurkio.</w:t>
      </w:r>
    </w:p>
    <w:p w:rsidR="00EF3402" w:rsidRPr="006D0AF4" w:rsidRDefault="00EF3402" w:rsidP="00EF3402">
      <w:pPr>
        <w:spacing w:line="360" w:lineRule="auto"/>
        <w:jc w:val="both"/>
      </w:pPr>
      <w:r w:rsidRPr="006D0AF4">
        <w:t xml:space="preserve">1.2. </w:t>
      </w:r>
      <w:r w:rsidRPr="003C3C05">
        <w:t xml:space="preserve">Uždavinio </w:t>
      </w:r>
      <w:r w:rsidRPr="00E369B2">
        <w:rPr>
          <w:i/>
        </w:rPr>
        <w:t>„sumažinti socialinę ekonominę gyventojų diferenciaciją šalies ir bendruomenių lygmeniu“</w:t>
      </w:r>
      <w:r w:rsidRPr="006D0AF4">
        <w:t xml:space="preserve"> rodikliai savivaldybėje ryškiai nesiskiria nuo Lietuvos vidurkio, tačiau išsiskiria didesnis </w:t>
      </w:r>
      <w:r>
        <w:t xml:space="preserve">standartizuotas mirtingumas </w:t>
      </w:r>
      <w:r w:rsidRPr="006D0AF4">
        <w:t>nuo išorinių priežaščių ir mokinių skaičius gaunančių nemokamą maitinimą.</w:t>
      </w:r>
    </w:p>
    <w:p w:rsidR="00EF3402" w:rsidRPr="006D0AF4" w:rsidRDefault="00EF3402" w:rsidP="00EF3402">
      <w:pPr>
        <w:spacing w:line="360" w:lineRule="auto"/>
        <w:jc w:val="both"/>
      </w:pPr>
      <w:r w:rsidRPr="006D0AF4">
        <w:t xml:space="preserve">2.1. Uždavinio </w:t>
      </w:r>
      <w:r w:rsidRPr="00E369B2">
        <w:rPr>
          <w:i/>
        </w:rPr>
        <w:t>„kurti sveikas ir saugias darbo bei buities sąlygas, didinti prekių ir paslaugų vartotojų saugumą“</w:t>
      </w:r>
      <w:r>
        <w:t xml:space="preserve"> </w:t>
      </w:r>
      <w:r w:rsidRPr="006D0AF4">
        <w:t>išsiskiria didesnis asmenų  skaičius pirmą kartą pripažintų neįgaliais</w:t>
      </w:r>
    </w:p>
    <w:p w:rsidR="00EF3402" w:rsidRPr="006D0AF4" w:rsidRDefault="00EF3402" w:rsidP="00EF3402">
      <w:pPr>
        <w:spacing w:line="360" w:lineRule="auto"/>
        <w:jc w:val="both"/>
      </w:pPr>
      <w:r w:rsidRPr="006D0AF4">
        <w:lastRenderedPageBreak/>
        <w:t xml:space="preserve">2.2. Uždavinio </w:t>
      </w:r>
      <w:r w:rsidRPr="00E369B2">
        <w:rPr>
          <w:i/>
        </w:rPr>
        <w:t>„kurti sveikas ir palankias sąlygas saugiai leisti laisvalaikį“</w:t>
      </w:r>
      <w:r w:rsidRPr="006D0AF4">
        <w:t xml:space="preserve"> visi rodikliai savivaldybėje ryškiai nesiskiria nuo Lietuvos vidurkio.</w:t>
      </w:r>
    </w:p>
    <w:p w:rsidR="00EF3402" w:rsidRPr="006D0AF4" w:rsidRDefault="00EF3402" w:rsidP="00EF3402">
      <w:pPr>
        <w:spacing w:line="360" w:lineRule="auto"/>
        <w:jc w:val="both"/>
      </w:pPr>
      <w:r w:rsidRPr="006D0AF4">
        <w:t xml:space="preserve">2.3. Uždavinio </w:t>
      </w:r>
      <w:r w:rsidRPr="00E369B2">
        <w:rPr>
          <w:i/>
        </w:rPr>
        <w:t>„mažinti avaringumą ir traumų kelių eismo įvykiuose skaičių“</w:t>
      </w:r>
      <w:r>
        <w:t xml:space="preserve"> rodikliai daugeliu atveju  yra prastesni</w:t>
      </w:r>
      <w:r w:rsidRPr="006D0AF4">
        <w:t xml:space="preserve"> </w:t>
      </w:r>
      <w:r>
        <w:t>už Lietuvos vidurkį.</w:t>
      </w:r>
    </w:p>
    <w:p w:rsidR="00EF3402" w:rsidRPr="006D0AF4" w:rsidRDefault="00EF3402" w:rsidP="00EF3402">
      <w:pPr>
        <w:spacing w:line="360" w:lineRule="auto"/>
        <w:jc w:val="both"/>
      </w:pPr>
      <w:r w:rsidRPr="006D0AF4">
        <w:t xml:space="preserve">2.4. Uždavinio </w:t>
      </w:r>
      <w:r w:rsidRPr="004B0BE1">
        <w:rPr>
          <w:i/>
        </w:rPr>
        <w:t>„mažinti aplinkos užterštumą, triukšmą“</w:t>
      </w:r>
      <w:r w:rsidRPr="006D0AF4">
        <w:t xml:space="preserve"> rodikliai geresni už Lietuvos vidurkį</w:t>
      </w:r>
      <w:r>
        <w:t>.</w:t>
      </w:r>
    </w:p>
    <w:p w:rsidR="00EF3402" w:rsidRPr="006D0AF4" w:rsidRDefault="00EF3402" w:rsidP="00EF3402">
      <w:pPr>
        <w:spacing w:line="360" w:lineRule="auto"/>
        <w:jc w:val="both"/>
      </w:pPr>
      <w:r>
        <w:t xml:space="preserve">3.1. </w:t>
      </w:r>
      <w:r w:rsidRPr="006D0AF4">
        <w:t xml:space="preserve">Uždavinio </w:t>
      </w:r>
      <w:r w:rsidRPr="004B0BE1">
        <w:rPr>
          <w:i/>
        </w:rPr>
        <w:t>„sumažinti alkoholinių gėrimų, tabako vartojimą, neteisėtą narkotinių ir psichotropinių medžiagų vartojimą ir prieinamumą bei azartinių lošimų, kompiuterinių žaidimų ir pan. prieinamumą“</w:t>
      </w:r>
      <w:r w:rsidRPr="006D0AF4">
        <w:t xml:space="preserve"> </w:t>
      </w:r>
      <w:r>
        <w:t>rodikliai</w:t>
      </w:r>
      <w:r w:rsidRPr="006D0AF4">
        <w:t xml:space="preserve"> ryškiai nesiskiria nuo Lietuvos vidurkio, tačiau išsiskiria didesnis išduodamų tabako ir alkoholio licencijų skaičius tenkantis 1 gyventojui ir nusikalstamų veikų skaičius susijusių su narkotikais</w:t>
      </w:r>
      <w:r>
        <w:t>.</w:t>
      </w:r>
    </w:p>
    <w:p w:rsidR="00EF3402" w:rsidRPr="006D0AF4" w:rsidRDefault="00EF3402" w:rsidP="00EF3402">
      <w:pPr>
        <w:spacing w:line="360" w:lineRule="auto"/>
        <w:jc w:val="both"/>
      </w:pPr>
      <w:r w:rsidRPr="006D0AF4">
        <w:t xml:space="preserve">3.2. Uždavinio </w:t>
      </w:r>
      <w:r w:rsidRPr="004B0BE1">
        <w:rPr>
          <w:i/>
        </w:rPr>
        <w:t xml:space="preserve">„skatinti sveikos mitybos įpročius“ </w:t>
      </w:r>
      <w:r w:rsidRPr="006D0AF4">
        <w:t>rodikliai nesiskiria nuo L</w:t>
      </w:r>
      <w:r>
        <w:t>i</w:t>
      </w:r>
      <w:r w:rsidRPr="006D0AF4">
        <w:t>etuvos vidurkio</w:t>
      </w:r>
      <w:r>
        <w:t>.</w:t>
      </w:r>
    </w:p>
    <w:p w:rsidR="00EF3402" w:rsidRPr="00D45332" w:rsidRDefault="00EF3402" w:rsidP="00EF3402">
      <w:pPr>
        <w:spacing w:line="360" w:lineRule="auto"/>
        <w:jc w:val="both"/>
      </w:pPr>
      <w:r w:rsidRPr="006D0AF4">
        <w:t xml:space="preserve">4.1. Uždavinio </w:t>
      </w:r>
      <w:r w:rsidRPr="004B0BE1">
        <w:rPr>
          <w:i/>
        </w:rPr>
        <w:t>„užtikrinti sveikatos sistemos tvarumą ir kokybę, plėtojant sveikatos priežiūros technologijas, kurių efektyvumas pagrįstas mokslo įrodymais“</w:t>
      </w:r>
      <w:r>
        <w:t xml:space="preserve"> rodiklis – išvengiamų hospitalizacijų skaičius </w:t>
      </w:r>
      <w:r w:rsidRPr="00180A9A">
        <w:t>1 000 gyventoj</w:t>
      </w:r>
      <w:r>
        <w:t>ų ženkliai viršija Lietuvos rodiklį.</w:t>
      </w:r>
    </w:p>
    <w:p w:rsidR="00EF3402" w:rsidRPr="00D45332" w:rsidRDefault="00EF3402" w:rsidP="00EF3402">
      <w:pPr>
        <w:spacing w:line="360" w:lineRule="auto"/>
        <w:jc w:val="both"/>
      </w:pPr>
      <w:r w:rsidRPr="00D45332">
        <w:t xml:space="preserve">4.2. Uždavinio </w:t>
      </w:r>
      <w:r w:rsidRPr="00D45332">
        <w:rPr>
          <w:i/>
        </w:rPr>
        <w:t>„plėtoti sveikatos infrastruktūrą ir gerinti sveikatos priežiūros paslaugų kokybę, saugą, prieinamumą ir į pacientą orientuotą sveikatos priežiūrą“</w:t>
      </w:r>
      <w:r w:rsidRPr="00D45332">
        <w:t xml:space="preserve"> apsilankymų pas gydytojus sk. 1 gyv</w:t>
      </w:r>
      <w:r>
        <w:t>.</w:t>
      </w:r>
      <w:r w:rsidRPr="00D45332">
        <w:t xml:space="preserve"> rodiklis geresnis už Lietuvos, tačiau stebimas didesnis sergamumas vaistams atsparia tuberkulioze lyginant su Lietuva, kiti rodikliai ryškiai nesiskiria.</w:t>
      </w:r>
    </w:p>
    <w:p w:rsidR="00EF3402" w:rsidRPr="00691CC9" w:rsidRDefault="00EF3402" w:rsidP="00EF3402">
      <w:pPr>
        <w:spacing w:line="360" w:lineRule="auto"/>
        <w:jc w:val="both"/>
      </w:pPr>
      <w:r w:rsidRPr="00691CC9">
        <w:t xml:space="preserve">4.4. Uždavinio </w:t>
      </w:r>
      <w:r w:rsidRPr="00691CC9">
        <w:rPr>
          <w:i/>
        </w:rPr>
        <w:t>„gerinti motinos ir vaiko sveikatą“</w:t>
      </w:r>
      <w:r w:rsidRPr="00691CC9">
        <w:t xml:space="preserve"> rodiklis</w:t>
      </w:r>
      <w:r>
        <w:t xml:space="preserve"> –</w:t>
      </w:r>
      <w:r w:rsidRPr="00691CC9">
        <w:t xml:space="preserve"> 1 m. vaikų difterijos, stabligės, kokliušo, poliomielito, Haemophilus influenzae B skiepijimo apimtys</w:t>
      </w:r>
      <w:r>
        <w:t>,</w:t>
      </w:r>
      <w:r w:rsidRPr="00691CC9">
        <w:t xml:space="preserve">  geresnis už Lietuvos vidurkį, tačiau išsiskiria didesnis kūdikių mirtingumas 1</w:t>
      </w:r>
      <w:r>
        <w:t xml:space="preserve"> </w:t>
      </w:r>
      <w:r w:rsidRPr="00691CC9">
        <w:t>000 gyvų gimusių ir stebimos mažesnės 2 m. vaikų tymų, epideminio parotito, raudonukės (1 dozė) skiepijimo apimtys.</w:t>
      </w:r>
    </w:p>
    <w:p w:rsidR="00EF3402" w:rsidRPr="00691CC9" w:rsidRDefault="00EF3402" w:rsidP="00EF3402">
      <w:pPr>
        <w:spacing w:line="360" w:lineRule="auto"/>
        <w:jc w:val="both"/>
      </w:pPr>
      <w:r w:rsidRPr="00691CC9">
        <w:t xml:space="preserve">4.5. Uždavinio </w:t>
      </w:r>
      <w:r w:rsidRPr="00691CC9">
        <w:rPr>
          <w:i/>
        </w:rPr>
        <w:t>„stiprinti lėtinių neinfekcinių ligų prevenciją ir kontrolę“</w:t>
      </w:r>
      <w:r w:rsidRPr="00691CC9">
        <w:t xml:space="preserve"> išsiskiria didesnis standartizuotas mir</w:t>
      </w:r>
      <w:r>
        <w:t>tingumas  nuo kraujotakos sistemos l</w:t>
      </w:r>
      <w:r w:rsidRPr="00691CC9">
        <w:t>igų, piktybinių navikų</w:t>
      </w:r>
      <w:r>
        <w:t xml:space="preserve">, cerebrovaskulinių ligų </w:t>
      </w:r>
      <w:r w:rsidRPr="00691CC9">
        <w:t>ligų ir mažesnė populiacijos dalis dalyvavo ŠKL programoje</w:t>
      </w:r>
      <w:r>
        <w:t>.</w:t>
      </w:r>
    </w:p>
    <w:p w:rsidR="00EF3402" w:rsidRPr="008034A8" w:rsidRDefault="00EF3402" w:rsidP="00EF3402">
      <w:pPr>
        <w:ind w:firstLine="1296"/>
      </w:pPr>
      <w:r w:rsidRPr="008034A8">
        <w:rPr>
          <w:color w:val="000000"/>
        </w:rPr>
        <w:t>Remiantis 1 lentelėje pateiktais rodikliais ir įvertinus savivaldybės rodiklio santykį su Lietuvos vidurkiu, matoma, jog:</w:t>
      </w:r>
    </w:p>
    <w:p w:rsidR="00EF3402" w:rsidRPr="008034A8" w:rsidRDefault="00EF3402" w:rsidP="00EF3402">
      <w:pPr>
        <w:spacing w:line="360" w:lineRule="auto"/>
        <w:jc w:val="both"/>
      </w:pPr>
      <w:r w:rsidRPr="008034A8">
        <w:t>1. 4 rodiklių reikšmės yra geresnės už Lietuvos vidurkį (žalioji zona):</w:t>
      </w:r>
    </w:p>
    <w:p w:rsidR="00EF3402" w:rsidRPr="008034A8" w:rsidRDefault="00EF3402" w:rsidP="00EF3402">
      <w:pPr>
        <w:numPr>
          <w:ilvl w:val="0"/>
          <w:numId w:val="41"/>
        </w:numPr>
        <w:spacing w:line="360" w:lineRule="auto"/>
        <w:jc w:val="both"/>
      </w:pPr>
      <w:r w:rsidRPr="008034A8">
        <w:t>1 m. vaikų difterijos, stabligės, kokliušo, poliomielito, HiB skiepijimo apimtys;</w:t>
      </w:r>
    </w:p>
    <w:p w:rsidR="00EF3402" w:rsidRPr="008034A8" w:rsidRDefault="00EF3402" w:rsidP="00EF3402">
      <w:pPr>
        <w:numPr>
          <w:ilvl w:val="0"/>
          <w:numId w:val="41"/>
        </w:numPr>
        <w:spacing w:line="360" w:lineRule="auto"/>
        <w:jc w:val="both"/>
      </w:pPr>
      <w:r w:rsidRPr="008034A8">
        <w:t>Apsilankymų pas gydytojus skaičius 1 gyventojui;</w:t>
      </w:r>
    </w:p>
    <w:p w:rsidR="00EF3402" w:rsidRPr="008034A8" w:rsidRDefault="00EF3402" w:rsidP="00EF3402">
      <w:pPr>
        <w:numPr>
          <w:ilvl w:val="0"/>
          <w:numId w:val="41"/>
        </w:numPr>
        <w:spacing w:line="360" w:lineRule="auto"/>
        <w:jc w:val="both"/>
      </w:pPr>
      <w:r w:rsidRPr="008034A8">
        <w:t>Į atmosferą iš stacionarių taršos šaltinių išmestų teršalų kiekis, tenkantis 1 kv. km;</w:t>
      </w:r>
    </w:p>
    <w:p w:rsidR="00EF3402" w:rsidRPr="008034A8" w:rsidRDefault="00EF3402" w:rsidP="00EF3402">
      <w:pPr>
        <w:numPr>
          <w:ilvl w:val="0"/>
          <w:numId w:val="41"/>
        </w:numPr>
        <w:spacing w:line="360" w:lineRule="auto"/>
        <w:jc w:val="both"/>
      </w:pPr>
      <w:r w:rsidRPr="008034A8">
        <w:t>Traumų dėl nukritimų (W00–W19) 65+ m. amžiaus grupėje sk. 10 000 gyv.</w:t>
      </w:r>
    </w:p>
    <w:p w:rsidR="00EF3402" w:rsidRPr="008034A8" w:rsidRDefault="00EF3402" w:rsidP="00EF3402">
      <w:pPr>
        <w:spacing w:line="360" w:lineRule="auto"/>
        <w:jc w:val="both"/>
      </w:pPr>
    </w:p>
    <w:p w:rsidR="00EF3402" w:rsidRPr="008034A8" w:rsidRDefault="00EF3402" w:rsidP="00EF3402">
      <w:pPr>
        <w:spacing w:line="360" w:lineRule="auto"/>
        <w:jc w:val="both"/>
      </w:pPr>
      <w:r w:rsidRPr="008034A8">
        <w:t>2. 21 rodiklio  reikšmės yra prastesnės nei Lietuvos vidurkis (raudonoji zona):</w:t>
      </w:r>
    </w:p>
    <w:p w:rsidR="00EF3402" w:rsidRPr="008034A8" w:rsidRDefault="00EF3402" w:rsidP="00EF3402">
      <w:pPr>
        <w:numPr>
          <w:ilvl w:val="0"/>
          <w:numId w:val="39"/>
        </w:numPr>
        <w:spacing w:line="360" w:lineRule="auto"/>
        <w:jc w:val="both"/>
      </w:pPr>
      <w:r w:rsidRPr="008034A8">
        <w:t>Vidutinė tikėtina gyvenimo trukmė, kai amžius 0;</w:t>
      </w:r>
    </w:p>
    <w:p w:rsidR="00EF3402" w:rsidRPr="006D0AF4" w:rsidRDefault="00EF3402" w:rsidP="00EF3402">
      <w:pPr>
        <w:numPr>
          <w:ilvl w:val="0"/>
          <w:numId w:val="39"/>
        </w:numPr>
        <w:spacing w:line="360" w:lineRule="auto"/>
        <w:jc w:val="both"/>
      </w:pPr>
      <w:r w:rsidRPr="006D0AF4">
        <w:t>Išvengiamas mirtingumas proc.;</w:t>
      </w:r>
    </w:p>
    <w:p w:rsidR="00EF3402" w:rsidRPr="006D0AF4" w:rsidRDefault="00EF3402" w:rsidP="00EF3402">
      <w:pPr>
        <w:numPr>
          <w:ilvl w:val="0"/>
          <w:numId w:val="39"/>
        </w:numPr>
        <w:spacing w:line="360" w:lineRule="auto"/>
        <w:jc w:val="both"/>
      </w:pPr>
      <w:r>
        <w:lastRenderedPageBreak/>
        <w:t>Standartizuotas mirtingumas (SMR)</w:t>
      </w:r>
      <w:r w:rsidRPr="006D0AF4">
        <w:t xml:space="preserve">  nuo išorinių priežasčių (V00-Y98) 100 000 gyv.;</w:t>
      </w:r>
    </w:p>
    <w:p w:rsidR="00EF3402" w:rsidRPr="006D0AF4" w:rsidRDefault="00EF3402" w:rsidP="00EF3402">
      <w:pPr>
        <w:numPr>
          <w:ilvl w:val="0"/>
          <w:numId w:val="39"/>
        </w:numPr>
        <w:spacing w:line="360" w:lineRule="auto"/>
        <w:jc w:val="both"/>
      </w:pPr>
      <w:r w:rsidRPr="006D0AF4">
        <w:t>Mokinių, gaunančių nemokamą maitinimą, sk. 1000 moksl.;</w:t>
      </w:r>
    </w:p>
    <w:p w:rsidR="00EF3402" w:rsidRPr="006D0AF4" w:rsidRDefault="00EF3402" w:rsidP="00EF3402">
      <w:pPr>
        <w:numPr>
          <w:ilvl w:val="0"/>
          <w:numId w:val="39"/>
        </w:numPr>
        <w:spacing w:line="360" w:lineRule="auto"/>
        <w:jc w:val="both"/>
      </w:pPr>
      <w:r w:rsidRPr="006D0AF4">
        <w:t>Asmenų, pirmą kartą pripažintų neįgaliais, sk. 10 000 gyv.;</w:t>
      </w:r>
    </w:p>
    <w:p w:rsidR="00EF3402" w:rsidRPr="006D0AF4" w:rsidRDefault="00EF3402" w:rsidP="00EF3402">
      <w:pPr>
        <w:numPr>
          <w:ilvl w:val="0"/>
          <w:numId w:val="39"/>
        </w:numPr>
        <w:spacing w:line="360" w:lineRule="auto"/>
        <w:jc w:val="both"/>
      </w:pPr>
      <w:r w:rsidRPr="006D0AF4">
        <w:t>Mirt</w:t>
      </w:r>
      <w:r>
        <w:t>ingumas</w:t>
      </w:r>
      <w:r w:rsidRPr="006D0AF4">
        <w:t xml:space="preserve"> transporto įvykiuose  (V00-V99) 100 000 gyv.;</w:t>
      </w:r>
    </w:p>
    <w:p w:rsidR="00EF3402" w:rsidRPr="006D0AF4" w:rsidRDefault="00EF3402" w:rsidP="00EF3402">
      <w:pPr>
        <w:numPr>
          <w:ilvl w:val="0"/>
          <w:numId w:val="39"/>
        </w:numPr>
        <w:spacing w:line="360" w:lineRule="auto"/>
        <w:jc w:val="both"/>
      </w:pPr>
      <w:r w:rsidRPr="006D0AF4">
        <w:t>SMR transporto įvykiuose (V00-V99) 100 000 gyv.;</w:t>
      </w:r>
    </w:p>
    <w:p w:rsidR="00EF3402" w:rsidRPr="006D0AF4" w:rsidRDefault="00EF3402" w:rsidP="00EF3402">
      <w:pPr>
        <w:numPr>
          <w:ilvl w:val="0"/>
          <w:numId w:val="39"/>
        </w:numPr>
        <w:spacing w:line="360" w:lineRule="auto"/>
        <w:jc w:val="both"/>
      </w:pPr>
      <w:r>
        <w:t>Pėsčiųjų mirtingumas</w:t>
      </w:r>
      <w:r w:rsidRPr="006D0AF4">
        <w:t xml:space="preserve"> nuo transporto įvykių (V00-V09) 100 000 gyv.;</w:t>
      </w:r>
    </w:p>
    <w:p w:rsidR="00EF3402" w:rsidRPr="006D0AF4" w:rsidRDefault="00EF3402" w:rsidP="00EF3402">
      <w:pPr>
        <w:numPr>
          <w:ilvl w:val="0"/>
          <w:numId w:val="39"/>
        </w:numPr>
        <w:spacing w:line="360" w:lineRule="auto"/>
        <w:jc w:val="both"/>
      </w:pPr>
      <w:r w:rsidRPr="006D0AF4">
        <w:t>Pėsčiųjų standartizuotas mirtingumas nuo transporto įvykių (V00-V09) 100 000 gyv.;</w:t>
      </w:r>
    </w:p>
    <w:p w:rsidR="00EF3402" w:rsidRPr="006D0AF4" w:rsidRDefault="00EF3402" w:rsidP="00EF3402">
      <w:pPr>
        <w:numPr>
          <w:ilvl w:val="0"/>
          <w:numId w:val="39"/>
        </w:numPr>
        <w:spacing w:line="360" w:lineRule="auto"/>
        <w:jc w:val="both"/>
      </w:pPr>
      <w:r w:rsidRPr="006D0AF4">
        <w:t>Nusikalstamos veikos, susijusios su narkotikais 100 000 gyv.;</w:t>
      </w:r>
    </w:p>
    <w:p w:rsidR="00EF3402" w:rsidRPr="006D0AF4" w:rsidRDefault="00EF3402" w:rsidP="00EF3402">
      <w:pPr>
        <w:numPr>
          <w:ilvl w:val="0"/>
          <w:numId w:val="39"/>
        </w:numPr>
        <w:spacing w:line="360" w:lineRule="auto"/>
        <w:jc w:val="both"/>
      </w:pPr>
      <w:r>
        <w:t>Gyventojų skaičius</w:t>
      </w:r>
      <w:r w:rsidRPr="006D0AF4">
        <w:t>, tenkantis 1 tabako licencijai;</w:t>
      </w:r>
    </w:p>
    <w:p w:rsidR="00EF3402" w:rsidRPr="006D0AF4" w:rsidRDefault="00EF3402" w:rsidP="00EF3402">
      <w:pPr>
        <w:numPr>
          <w:ilvl w:val="0"/>
          <w:numId w:val="39"/>
        </w:numPr>
        <w:spacing w:line="360" w:lineRule="auto"/>
        <w:jc w:val="both"/>
      </w:pPr>
      <w:r>
        <w:t>Gyventojų skaičius,</w:t>
      </w:r>
      <w:r w:rsidRPr="006D0AF4">
        <w:t xml:space="preserve"> tenkantis 1 alkoholio licencijai;</w:t>
      </w:r>
    </w:p>
    <w:p w:rsidR="00EF3402" w:rsidRPr="006D0AF4" w:rsidRDefault="00EF3402" w:rsidP="00EF3402">
      <w:pPr>
        <w:numPr>
          <w:ilvl w:val="0"/>
          <w:numId w:val="39"/>
        </w:numPr>
        <w:spacing w:line="360" w:lineRule="auto"/>
        <w:jc w:val="both"/>
      </w:pPr>
      <w:r w:rsidRPr="006D0AF4">
        <w:t>Išvengiamų hospitalizacijų (IH) sk. 1 000 gyv.;</w:t>
      </w:r>
    </w:p>
    <w:p w:rsidR="00EF3402" w:rsidRPr="006D0AF4" w:rsidRDefault="00EF3402" w:rsidP="00EF3402">
      <w:pPr>
        <w:numPr>
          <w:ilvl w:val="0"/>
          <w:numId w:val="39"/>
        </w:numPr>
        <w:spacing w:line="360" w:lineRule="auto"/>
        <w:jc w:val="both"/>
      </w:pPr>
      <w:r w:rsidRPr="006D0AF4">
        <w:t>Sergamumas vaistams atsparia tuberkulioze (A15-A19) (visi) 10 000 gyv.;</w:t>
      </w:r>
    </w:p>
    <w:p w:rsidR="00EF3402" w:rsidRPr="006D0AF4" w:rsidRDefault="00EF3402" w:rsidP="00EF3402">
      <w:pPr>
        <w:numPr>
          <w:ilvl w:val="0"/>
          <w:numId w:val="39"/>
        </w:numPr>
        <w:spacing w:line="360" w:lineRule="auto"/>
        <w:jc w:val="both"/>
      </w:pPr>
      <w:r>
        <w:t>Sergamumas</w:t>
      </w:r>
      <w:r w:rsidRPr="006D0AF4">
        <w:t xml:space="preserve"> vaistams atsparia tuberkulioze (A15-A19) 100 000 gyv.;</w:t>
      </w:r>
    </w:p>
    <w:p w:rsidR="00EF3402" w:rsidRPr="006D0AF4" w:rsidRDefault="00EF3402" w:rsidP="00EF3402">
      <w:pPr>
        <w:numPr>
          <w:ilvl w:val="0"/>
          <w:numId w:val="39"/>
        </w:numPr>
        <w:spacing w:line="360" w:lineRule="auto"/>
        <w:jc w:val="both"/>
      </w:pPr>
      <w:r w:rsidRPr="006D0AF4">
        <w:t>Kūdikių mirtingumas 1000 gyvų gimusių;</w:t>
      </w:r>
    </w:p>
    <w:p w:rsidR="00EF3402" w:rsidRPr="006D0AF4" w:rsidRDefault="00EF3402" w:rsidP="00EF3402">
      <w:pPr>
        <w:numPr>
          <w:ilvl w:val="0"/>
          <w:numId w:val="39"/>
        </w:numPr>
        <w:spacing w:line="360" w:lineRule="auto"/>
        <w:jc w:val="both"/>
      </w:pPr>
      <w:r w:rsidRPr="006D0AF4">
        <w:t>2 m. vaikų tymų, epideminio parotito, raudonukės (1 dozė) skiepijimo apimtys, %;</w:t>
      </w:r>
    </w:p>
    <w:p w:rsidR="00EF3402" w:rsidRPr="006D0AF4" w:rsidRDefault="00EF3402" w:rsidP="00EF3402">
      <w:pPr>
        <w:numPr>
          <w:ilvl w:val="0"/>
          <w:numId w:val="39"/>
        </w:numPr>
        <w:spacing w:line="360" w:lineRule="auto"/>
        <w:jc w:val="both"/>
      </w:pPr>
      <w:r>
        <w:t xml:space="preserve">SMR </w:t>
      </w:r>
      <w:r w:rsidRPr="006D0AF4">
        <w:t>nuo kraujotakos sist. ligų (I00-I99) 100 000 gyv.;</w:t>
      </w:r>
    </w:p>
    <w:p w:rsidR="00EF3402" w:rsidRPr="006D0AF4" w:rsidRDefault="00EF3402" w:rsidP="00EF3402">
      <w:pPr>
        <w:numPr>
          <w:ilvl w:val="0"/>
          <w:numId w:val="39"/>
        </w:numPr>
        <w:spacing w:line="360" w:lineRule="auto"/>
        <w:jc w:val="both"/>
      </w:pPr>
      <w:r w:rsidRPr="006D0AF4">
        <w:t>SMR nuo piktybinių navikų (C00-C96) 100 000 gyv.;</w:t>
      </w:r>
    </w:p>
    <w:p w:rsidR="00EF3402" w:rsidRPr="006D0AF4" w:rsidRDefault="00EF3402" w:rsidP="00EF3402">
      <w:pPr>
        <w:numPr>
          <w:ilvl w:val="0"/>
          <w:numId w:val="39"/>
        </w:numPr>
        <w:spacing w:line="360" w:lineRule="auto"/>
        <w:jc w:val="both"/>
      </w:pPr>
      <w:r w:rsidRPr="006D0AF4">
        <w:t>SMR nuo cerebrovaskulinių ligų (I60-I69) 100 000 gyv;</w:t>
      </w:r>
    </w:p>
    <w:p w:rsidR="00EF3402" w:rsidRDefault="00EF3402" w:rsidP="00EF3402">
      <w:pPr>
        <w:numPr>
          <w:ilvl w:val="0"/>
          <w:numId w:val="39"/>
        </w:numPr>
        <w:spacing w:line="360" w:lineRule="auto"/>
        <w:jc w:val="both"/>
      </w:pPr>
      <w:r w:rsidRPr="006D0AF4">
        <w:t>Tikslinės populiacijos dalis %, dalyvavusi ŠKL programoje.</w:t>
      </w:r>
    </w:p>
    <w:p w:rsidR="00EF3402" w:rsidRPr="0042633F" w:rsidRDefault="00EF3402" w:rsidP="00EF3402"/>
    <w:p w:rsidR="00EF3402" w:rsidRPr="00323AA6" w:rsidRDefault="00EF3402" w:rsidP="00EF3402">
      <w:pPr>
        <w:pStyle w:val="Antrat1"/>
        <w:numPr>
          <w:ilvl w:val="0"/>
          <w:numId w:val="33"/>
        </w:numPr>
        <w:tabs>
          <w:tab w:val="clear" w:pos="1134"/>
        </w:tabs>
        <w:spacing w:line="276" w:lineRule="auto"/>
      </w:pPr>
      <w:bookmarkStart w:id="13" w:name="_Toc58762847"/>
      <w:bookmarkStart w:id="14" w:name="_Toc58762891"/>
      <w:bookmarkStart w:id="15" w:name="_Toc58762900"/>
      <w:r>
        <w:br w:type="page"/>
      </w:r>
      <w:bookmarkStart w:id="16" w:name="_Toc58936310"/>
      <w:r w:rsidRPr="00323AA6">
        <w:lastRenderedPageBreak/>
        <w:t>SAVIVALDYBĖS PRIORITETINIŲ PROBLEMŲ ANALIZĖ</w:t>
      </w:r>
      <w:bookmarkEnd w:id="13"/>
      <w:bookmarkEnd w:id="14"/>
      <w:bookmarkEnd w:id="15"/>
      <w:bookmarkEnd w:id="16"/>
    </w:p>
    <w:p w:rsidR="00EF3402" w:rsidRDefault="00EF3402" w:rsidP="00EF3402">
      <w:pPr>
        <w:spacing w:line="360" w:lineRule="auto"/>
        <w:jc w:val="both"/>
      </w:pPr>
    </w:p>
    <w:p w:rsidR="00EF3402" w:rsidRPr="006D0AF4" w:rsidRDefault="00EF3402" w:rsidP="00EF3402">
      <w:pPr>
        <w:spacing w:line="360" w:lineRule="auto"/>
        <w:ind w:firstLine="360"/>
        <w:jc w:val="both"/>
      </w:pPr>
      <w:r w:rsidRPr="006D0AF4">
        <w:t>Detaliai analizei, kaip prioritetinės sveikatos problemos, pasirinkti šie rodikliai:</w:t>
      </w:r>
    </w:p>
    <w:p w:rsidR="00EF3402" w:rsidRPr="006D0AF4" w:rsidRDefault="00EF3402" w:rsidP="00EF3402">
      <w:pPr>
        <w:numPr>
          <w:ilvl w:val="0"/>
          <w:numId w:val="34"/>
        </w:numPr>
        <w:spacing w:line="360" w:lineRule="auto"/>
        <w:jc w:val="both"/>
      </w:pPr>
      <w:r w:rsidRPr="006D0AF4">
        <w:t>mirtingumas nuo kraujotakos sistemos ligų;</w:t>
      </w:r>
    </w:p>
    <w:p w:rsidR="00EF3402" w:rsidRPr="006D0AF4" w:rsidRDefault="00EF3402" w:rsidP="00EF3402">
      <w:pPr>
        <w:numPr>
          <w:ilvl w:val="0"/>
          <w:numId w:val="34"/>
        </w:numPr>
        <w:spacing w:line="360" w:lineRule="auto"/>
        <w:jc w:val="both"/>
      </w:pPr>
      <w:r w:rsidRPr="006D0AF4">
        <w:t>mirtingumas dėl išorinių mirties priežasčių;</w:t>
      </w:r>
    </w:p>
    <w:p w:rsidR="00EF3402" w:rsidRDefault="00EF3402" w:rsidP="00EF3402">
      <w:pPr>
        <w:numPr>
          <w:ilvl w:val="0"/>
          <w:numId w:val="34"/>
        </w:numPr>
        <w:spacing w:line="360" w:lineRule="auto"/>
        <w:jc w:val="both"/>
      </w:pPr>
      <w:r w:rsidRPr="006D0AF4">
        <w:t>išvengiamos hospitalizacijos.</w:t>
      </w:r>
    </w:p>
    <w:p w:rsidR="00EF3402" w:rsidRPr="006D0AF4" w:rsidRDefault="00EF3402" w:rsidP="00EF3402">
      <w:pPr>
        <w:spacing w:line="360" w:lineRule="auto"/>
        <w:ind w:firstLine="720"/>
        <w:jc w:val="both"/>
      </w:pPr>
      <w:r w:rsidRPr="00E923F9">
        <w:t>Probleminės sritys pasirinktos vertinant kur savivaldybė atspindi prasčiausią padėtį lyginant su Lietuvos vidurkiu bei pagal rodiklio pokyčio krypties tendencijas.</w:t>
      </w:r>
    </w:p>
    <w:p w:rsidR="00EF3402" w:rsidRPr="00AF134F" w:rsidRDefault="00EF3402" w:rsidP="00EF3402">
      <w:pPr>
        <w:pStyle w:val="Antrat1"/>
      </w:pPr>
      <w:bookmarkStart w:id="17" w:name="_Toc58762848"/>
      <w:bookmarkStart w:id="18" w:name="_Toc58762892"/>
      <w:bookmarkStart w:id="19" w:name="_Toc58762901"/>
      <w:bookmarkStart w:id="20" w:name="_Toc58936311"/>
      <w:r w:rsidRPr="00323AA6">
        <w:t>4.1. ŠALČININKŲ RAJONO GYVENTOJŲ MIRTINGUMAS NUO KRAUJOTAKOS SISTEMOS LIGŲ</w:t>
      </w:r>
      <w:bookmarkEnd w:id="17"/>
      <w:bookmarkEnd w:id="18"/>
      <w:bookmarkEnd w:id="19"/>
      <w:bookmarkEnd w:id="20"/>
    </w:p>
    <w:p w:rsidR="00EF3402" w:rsidRPr="006D0AF4" w:rsidRDefault="00EF3402" w:rsidP="00EF3402">
      <w:pPr>
        <w:spacing w:line="360" w:lineRule="auto"/>
        <w:ind w:firstLine="1296"/>
        <w:jc w:val="both"/>
      </w:pPr>
      <w:r w:rsidRPr="006D0AF4">
        <w:t xml:space="preserve">Kraujotakos sistemos ligos yra pagrindinė Lietuvos gyventojų sergamumo ir mirtingumo priežastis. </w:t>
      </w:r>
      <w:r>
        <w:t xml:space="preserve"> </w:t>
      </w:r>
      <w:r w:rsidRPr="006D0AF4">
        <w:t>2019 m. Lietuvoje dėl kraujotakos sistemos ligų mirė 20 901, o Šalčininkų r.</w:t>
      </w:r>
      <w:r>
        <w:t xml:space="preserve"> sav.</w:t>
      </w:r>
      <w:r w:rsidRPr="006D0AF4">
        <w:t xml:space="preserve"> – 301 gyventojas (4 asmenimis daugiau nei 2018 metais). Mirtingumas nuo kraujotakos si</w:t>
      </w:r>
      <w:r>
        <w:t>stemos ligų 2019 m. sudarė 56,</w:t>
      </w:r>
      <w:r w:rsidRPr="008034A8">
        <w:t>8</w:t>
      </w:r>
      <w:r w:rsidRPr="006D0AF4">
        <w:t xml:space="preserve"> proc. bendro mirtingumo Šalčininkų rajono savivaldybėje. </w:t>
      </w:r>
    </w:p>
    <w:p w:rsidR="00EF3402" w:rsidRPr="006D0AF4" w:rsidRDefault="00EF3402" w:rsidP="00EF3402">
      <w:pPr>
        <w:spacing w:line="360" w:lineRule="auto"/>
        <w:ind w:firstLine="1296"/>
        <w:jc w:val="both"/>
      </w:pPr>
      <w:r w:rsidRPr="006D0AF4">
        <w:t>Šalčininkų r.</w:t>
      </w:r>
      <w:r>
        <w:t xml:space="preserve"> sav.</w:t>
      </w:r>
      <w:r w:rsidRPr="006D0AF4">
        <w:t xml:space="preserve"> gyventojų standartizuotas mirtingumo nuo kraujotakos sistemos ligų rodiklis (1238,2/100 000 gyv.) 1,69 karto viršijo Lietuvos rodiklį (733,0/100 000 gyv.) ir lyginant su kitomis šalies savivaldybėmis užima </w:t>
      </w:r>
      <w:r>
        <w:t>prasčiausią vietą visoje Lietuvoje</w:t>
      </w:r>
      <w:r w:rsidRPr="006D0AF4">
        <w:t>.</w:t>
      </w:r>
    </w:p>
    <w:p w:rsidR="00EF3402" w:rsidRPr="006D0AF4" w:rsidRDefault="00EF3402" w:rsidP="00EF3402">
      <w:pPr>
        <w:spacing w:line="360" w:lineRule="auto"/>
        <w:ind w:firstLine="1296"/>
        <w:jc w:val="both"/>
      </w:pPr>
      <w:r w:rsidRPr="006D0AF4">
        <w:t>Analizuojant dažniausias kraujotakos sistemos mirčių priežastis pastebima, kad daugiausia Šalčininkų rajono gyventojų mirė dėl lėtinės išėminės širdies  ligos –  51,8 proc., smegenų infarkto – 13,3 proc. ir  hipertenzinės širdies ligos – 9,6 proc.</w:t>
      </w:r>
    </w:p>
    <w:p w:rsidR="00EF3402" w:rsidRPr="006D0AF4" w:rsidRDefault="00EF3402" w:rsidP="00EF3402">
      <w:pPr>
        <w:spacing w:line="360" w:lineRule="auto"/>
        <w:ind w:firstLine="1296"/>
        <w:jc w:val="both"/>
      </w:pPr>
      <w:r w:rsidRPr="006D0AF4">
        <w:t>Lygin</w:t>
      </w:r>
      <w:r>
        <w:t>ant mirtingumą pagal lytį nustatyt</w:t>
      </w:r>
      <w:r w:rsidRPr="006D0AF4">
        <w:t xml:space="preserve">a, kad vyrų standartizuotas mirtingumas Šalčininkų rajone buvo 1,6 kartus didesnis nei moterų. </w:t>
      </w:r>
    </w:p>
    <w:p w:rsidR="00EF3402" w:rsidRDefault="00EF3402" w:rsidP="00EF3402">
      <w:pPr>
        <w:spacing w:line="360" w:lineRule="auto"/>
        <w:jc w:val="both"/>
      </w:pPr>
      <w:r w:rsidRPr="006D0AF4">
        <w:t xml:space="preserve"> </w:t>
      </w:r>
      <w:r w:rsidRPr="00211235">
        <w:rPr>
          <w:lang w:eastAsia="lt-LT"/>
        </w:rPr>
        <w:drawing>
          <wp:inline distT="0" distB="0" distL="0" distR="0">
            <wp:extent cx="5856605" cy="2367280"/>
            <wp:effectExtent l="0" t="0" r="10795" b="13970"/>
            <wp:docPr id="8" name="Diagrama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EF3402" w:rsidRPr="006D0AF4" w:rsidRDefault="00EF3402" w:rsidP="00EF3402">
      <w:pPr>
        <w:spacing w:line="360" w:lineRule="auto"/>
        <w:jc w:val="both"/>
      </w:pPr>
      <w:r w:rsidRPr="00811BD6">
        <w:rPr>
          <w:b/>
          <w:i/>
        </w:rPr>
        <w:t>2 pav.</w:t>
      </w:r>
      <w:r w:rsidRPr="00811BD6">
        <w:rPr>
          <w:i/>
        </w:rPr>
        <w:t xml:space="preserve"> Standartizuoto mirtingumo pasiskirstymas pagal lytį nuo kraujotakos sistemos ligų 100 000 gyv. Šalčininkų r. 2015-2019 m.</w:t>
      </w:r>
      <w:r>
        <w:rPr>
          <w:i/>
        </w:rPr>
        <w:t xml:space="preserve"> </w:t>
      </w:r>
    </w:p>
    <w:p w:rsidR="00EF3402" w:rsidRDefault="00EF3402" w:rsidP="00EF3402">
      <w:pPr>
        <w:pStyle w:val="Standarduseruser"/>
        <w:spacing w:line="360" w:lineRule="auto"/>
        <w:ind w:firstLine="709"/>
        <w:jc w:val="both"/>
        <w:rPr>
          <w:rFonts w:ascii="Times New Roman" w:hAnsi="Times New Roman" w:cs="Times New Roman"/>
          <w:i/>
          <w:color w:val="000000"/>
          <w:lang w:eastAsia="lt-LT" w:bidi="ar-SA"/>
        </w:rPr>
      </w:pPr>
      <w:r w:rsidRPr="006D0AF4">
        <w:rPr>
          <w:rFonts w:ascii="Times New Roman" w:hAnsi="Times New Roman" w:cs="Times New Roman"/>
        </w:rPr>
        <w:t xml:space="preserve">Analizuojant duomenis pagal gyvenamąją vietą didžiausias mirtingumas buvo fiksuotas tarp kaimo gyventojų – 1229,7/100 000 gyv., mieste gyvenančiųjų mirtingumas 1,5 karto </w:t>
      </w:r>
      <w:r>
        <w:rPr>
          <w:rFonts w:ascii="Times New Roman" w:hAnsi="Times New Roman" w:cs="Times New Roman"/>
          <w:color w:val="000000"/>
          <w:lang w:eastAsia="lt-LT" w:bidi="ar-SA"/>
        </w:rPr>
        <w:t>mažesnis – siekė 823,4/</w:t>
      </w:r>
      <w:r w:rsidRPr="000D6EEA">
        <w:rPr>
          <w:rFonts w:ascii="Times New Roman" w:hAnsi="Times New Roman" w:cs="Times New Roman"/>
          <w:color w:val="000000"/>
          <w:lang w:eastAsia="lt-LT" w:bidi="ar-SA"/>
        </w:rPr>
        <w:t>100 000 gyv</w:t>
      </w:r>
      <w:r>
        <w:rPr>
          <w:rFonts w:ascii="Times New Roman" w:hAnsi="Times New Roman" w:cs="Times New Roman"/>
          <w:i/>
          <w:color w:val="000000"/>
          <w:lang w:eastAsia="lt-LT" w:bidi="ar-SA"/>
        </w:rPr>
        <w:t>.</w:t>
      </w:r>
    </w:p>
    <w:p w:rsidR="00EF3402" w:rsidRPr="00323AA6" w:rsidRDefault="00EF3402" w:rsidP="00EF3402">
      <w:pPr>
        <w:pStyle w:val="Standarduseruser"/>
        <w:spacing w:line="360" w:lineRule="auto"/>
        <w:ind w:firstLine="709"/>
        <w:jc w:val="both"/>
        <w:rPr>
          <w:rFonts w:ascii="Times New Roman" w:hAnsi="Times New Roman" w:cs="Times New Roman"/>
          <w:i/>
          <w:color w:val="000000"/>
          <w:lang w:eastAsia="lt-LT" w:bidi="ar-SA"/>
        </w:rPr>
      </w:pPr>
      <w:r w:rsidRPr="000D6EEA">
        <w:rPr>
          <w:rFonts w:ascii="Times New Roman" w:hAnsi="Times New Roman" w:cs="Times New Roman"/>
          <w:color w:val="000000"/>
        </w:rPr>
        <w:lastRenderedPageBreak/>
        <w:t xml:space="preserve">Nuo kraujotakos sistemos ligų daugiausia mirė  virš 65 m. amžiaus Šalčininkų r. gyventojų – </w:t>
      </w:r>
      <w:r w:rsidRPr="000D6EEA">
        <w:rPr>
          <w:rFonts w:ascii="Times New Roman" w:hAnsi="Times New Roman" w:cs="Times New Roman"/>
        </w:rPr>
        <w:t>255</w:t>
      </w:r>
      <w:r w:rsidRPr="000D6EEA">
        <w:rPr>
          <w:rFonts w:ascii="Times New Roman" w:hAnsi="Times New Roman" w:cs="Times New Roman"/>
          <w:color w:val="000000"/>
        </w:rPr>
        <w:t xml:space="preserve"> (4852,5/100 000 gyv.,), kitose amžiaus grupėse: 18 – 44 m. –</w:t>
      </w:r>
      <w:r w:rsidRPr="000D6EEA">
        <w:rPr>
          <w:rFonts w:ascii="Times New Roman" w:hAnsi="Times New Roman" w:cs="Times New Roman"/>
          <w:color w:val="FF0000"/>
        </w:rPr>
        <w:t xml:space="preserve"> </w:t>
      </w:r>
      <w:r w:rsidRPr="000D6EEA">
        <w:rPr>
          <w:rFonts w:ascii="Times New Roman" w:hAnsi="Times New Roman" w:cs="Times New Roman"/>
        </w:rPr>
        <w:t>4 gyv. (38,6 /100 000 gyv.), 45-64 m. – 42</w:t>
      </w:r>
      <w:r w:rsidRPr="000D6EEA">
        <w:rPr>
          <w:rFonts w:ascii="Times New Roman" w:hAnsi="Times New Roman" w:cs="Times New Roman"/>
          <w:color w:val="000000"/>
        </w:rPr>
        <w:t xml:space="preserve"> gyv. (460,6/100 000 gyv.), nei vieno mirties atvejo nenustatyta 0-17 m. amžiaus grupėje. Vertinant mirtingumą nuo kraujotakos sistemos ligų nustatyta, kad nuo 2016 m. 18-44 m. ir 45-64 m. amžiaus grupėse stebimas mirtingumo mažėjimas,  o 65+ m. grupėje – nekinta</w:t>
      </w:r>
      <w:r w:rsidRPr="006D0AF4">
        <w:rPr>
          <w:rFonts w:ascii="Times New Roman" w:hAnsi="Times New Roman" w:cs="Times New Roman"/>
          <w:color w:val="000000"/>
        </w:rPr>
        <w:t>.</w:t>
      </w:r>
    </w:p>
    <w:p w:rsidR="00EF3402" w:rsidRPr="00323AA6" w:rsidRDefault="00EF3402" w:rsidP="00EF3402">
      <w:pPr>
        <w:pStyle w:val="Antrat1"/>
      </w:pPr>
      <w:bookmarkStart w:id="21" w:name="_Toc58762849"/>
      <w:bookmarkStart w:id="22" w:name="_Toc58762893"/>
      <w:bookmarkStart w:id="23" w:name="_Toc58762902"/>
      <w:bookmarkStart w:id="24" w:name="_Toc58936312"/>
      <w:r w:rsidRPr="00323AA6">
        <w:t>4.2. ŠALČININKŲ RAJONO GYVENTOJŲ MIRTINGUMAS NUO PIKTYBINIŲ NAVIKŲ</w:t>
      </w:r>
      <w:bookmarkEnd w:id="21"/>
      <w:bookmarkEnd w:id="22"/>
      <w:bookmarkEnd w:id="23"/>
      <w:bookmarkEnd w:id="24"/>
    </w:p>
    <w:p w:rsidR="00EF3402" w:rsidRPr="006D0AF4" w:rsidRDefault="00EF3402" w:rsidP="00EF3402">
      <w:pPr>
        <w:spacing w:line="360" w:lineRule="auto"/>
        <w:jc w:val="both"/>
      </w:pPr>
    </w:p>
    <w:p w:rsidR="00EF3402" w:rsidRPr="006D0AF4" w:rsidRDefault="00EF3402" w:rsidP="00EF3402">
      <w:pPr>
        <w:spacing w:line="360" w:lineRule="auto"/>
        <w:ind w:firstLine="1296"/>
        <w:jc w:val="both"/>
      </w:pPr>
      <w:r w:rsidRPr="006D0AF4">
        <w:t xml:space="preserve"> Mirtingumas nuo piktybinių navikų 2019 m. sudarė 19,6 proc. bendro mirtingumo Šalčininkų rajono savivaldybėje. Iš viso 2019 m. nuo piktybinių navikų </w:t>
      </w:r>
      <w:r>
        <w:t xml:space="preserve">mirė </w:t>
      </w:r>
      <w:r w:rsidRPr="006D0AF4">
        <w:t>104 a</w:t>
      </w:r>
      <w:r>
        <w:t xml:space="preserve">smenys t.y. 9 asmenimis daugiau </w:t>
      </w:r>
      <w:r w:rsidRPr="006D0AF4">
        <w:t>nei 2018 metais. Šalčininkų r.</w:t>
      </w:r>
      <w:r>
        <w:t xml:space="preserve"> sav.</w:t>
      </w:r>
      <w:r w:rsidRPr="006D0AF4">
        <w:t xml:space="preserve"> gyventojų standartizuotas mirtingumo nuo piktybinių navikų rodiklis (366,2/100 000 gyv.) 1,34 kartus viršijo Lietuvos rodiklį (273,5/100 000 gyv.) ir lyginant su k</w:t>
      </w:r>
      <w:r>
        <w:t>itomis šalies savivaldybėmis</w:t>
      </w:r>
      <w:r w:rsidRPr="006D0AF4">
        <w:t xml:space="preserve"> yra didžiausias. </w:t>
      </w:r>
    </w:p>
    <w:p w:rsidR="00EF3402" w:rsidRPr="006D0AF4" w:rsidRDefault="00EF3402" w:rsidP="00EF3402">
      <w:pPr>
        <w:spacing w:line="360" w:lineRule="auto"/>
        <w:ind w:firstLine="1296"/>
        <w:jc w:val="both"/>
      </w:pPr>
      <w:r w:rsidRPr="006D0AF4">
        <w:t>Vertinant Šalčininkų r. sav. standartizuotą mirtingu</w:t>
      </w:r>
      <w:r>
        <w:t>mo nuo piktybinių navikų rodiklio</w:t>
      </w:r>
      <w:r w:rsidRPr="006D0AF4">
        <w:t xml:space="preserve"> </w:t>
      </w:r>
      <w:r>
        <w:t xml:space="preserve">kitimą </w:t>
      </w:r>
      <w:r w:rsidRPr="006D0AF4">
        <w:t xml:space="preserve">nuo 2017 m. </w:t>
      </w:r>
      <w:r>
        <w:t>stebimas rodiklio padidėjimas. Šalčininkų r. sav. nuo 2012 m. standartizuoto mirtingumo nuo piktybinių navikų rodikliai viršija Lietuvos vidurkį (3</w:t>
      </w:r>
      <w:r w:rsidRPr="006D0AF4">
        <w:t xml:space="preserve"> pav.).</w:t>
      </w:r>
    </w:p>
    <w:p w:rsidR="00EF3402" w:rsidRPr="006D0AF4" w:rsidRDefault="00EF3402" w:rsidP="00EF3402">
      <w:pPr>
        <w:spacing w:line="360" w:lineRule="auto"/>
        <w:jc w:val="both"/>
      </w:pPr>
      <w:r w:rsidRPr="006D0AF4">
        <w:t xml:space="preserve"> </w:t>
      </w:r>
      <w:r w:rsidRPr="002D3D03">
        <w:rPr>
          <w:lang w:eastAsia="lt-LT"/>
        </w:rPr>
        <w:drawing>
          <wp:inline distT="0" distB="0" distL="0" distR="0">
            <wp:extent cx="6121400" cy="2235835"/>
            <wp:effectExtent l="0" t="0" r="12700" b="12065"/>
            <wp:docPr id="7" name="Diagrama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EF3402" w:rsidRPr="00811BD6" w:rsidRDefault="00EF3402" w:rsidP="00EF3402">
      <w:pPr>
        <w:spacing w:line="360" w:lineRule="auto"/>
        <w:jc w:val="both"/>
        <w:rPr>
          <w:i/>
        </w:rPr>
      </w:pPr>
      <w:r w:rsidRPr="006D0AF4">
        <w:t xml:space="preserve"> </w:t>
      </w:r>
      <w:r w:rsidRPr="00670A80">
        <w:rPr>
          <w:b/>
          <w:i/>
        </w:rPr>
        <w:t>3</w:t>
      </w:r>
      <w:r w:rsidRPr="00811BD6">
        <w:rPr>
          <w:b/>
          <w:i/>
        </w:rPr>
        <w:t xml:space="preserve"> pav.</w:t>
      </w:r>
      <w:r w:rsidRPr="00811BD6">
        <w:rPr>
          <w:i/>
        </w:rPr>
        <w:t xml:space="preserve"> Standartizuotas mirtingumas </w:t>
      </w:r>
      <w:r>
        <w:rPr>
          <w:i/>
        </w:rPr>
        <w:t xml:space="preserve">nuo </w:t>
      </w:r>
      <w:r w:rsidRPr="00811BD6">
        <w:rPr>
          <w:i/>
        </w:rPr>
        <w:t xml:space="preserve">piktybinių navikų 100 000 gyv. Šalčininkų r. </w:t>
      </w:r>
      <w:r>
        <w:rPr>
          <w:i/>
        </w:rPr>
        <w:t>ir Lietuvoje 2009</w:t>
      </w:r>
      <w:r w:rsidRPr="00811BD6">
        <w:rPr>
          <w:i/>
        </w:rPr>
        <w:t>-2019 m.</w:t>
      </w:r>
      <w:r>
        <w:rPr>
          <w:i/>
        </w:rPr>
        <w:t xml:space="preserve"> </w:t>
      </w:r>
    </w:p>
    <w:p w:rsidR="00EF3402" w:rsidRDefault="00EF3402" w:rsidP="00EF3402">
      <w:pPr>
        <w:spacing w:line="360" w:lineRule="auto"/>
        <w:jc w:val="both"/>
      </w:pPr>
    </w:p>
    <w:p w:rsidR="00EF3402" w:rsidRPr="006D0AF4" w:rsidRDefault="00EF3402" w:rsidP="00EF3402">
      <w:pPr>
        <w:spacing w:line="360" w:lineRule="auto"/>
        <w:ind w:firstLine="1296"/>
        <w:jc w:val="both"/>
      </w:pPr>
      <w:r w:rsidRPr="006D0AF4">
        <w:t xml:space="preserve">Lyginant pagal lytį vyrų standartizuotas mirtingumas nuo piktybinių navikų 2,3 kartų viršijo moterų. 2019 m. Šalčininkų r. sav. vyrų mirtingumo rodiklis nuo piktybinių navikų siekė – 596,4 /100 000 gyv., o moterų – 257,7/100 000 gyv. </w:t>
      </w:r>
    </w:p>
    <w:p w:rsidR="00EF3402" w:rsidRPr="006D0AF4" w:rsidRDefault="00EF3402" w:rsidP="00EF3402">
      <w:pPr>
        <w:spacing w:line="360" w:lineRule="auto"/>
        <w:ind w:firstLine="1296"/>
        <w:jc w:val="both"/>
      </w:pPr>
      <w:r w:rsidRPr="006D0AF4">
        <w:t>Vertinant duomenis pagal gyvenamąją vietą didesnis mirtingumas buvo fiksuotas tarp kaimo gyventojų – 384,8 /100 000 gyv., mieste gyvenančių mirtingumas siekė 337,2/100 000 gyv.</w:t>
      </w:r>
    </w:p>
    <w:p w:rsidR="00EF3402" w:rsidRPr="006D0AF4" w:rsidRDefault="00EF3402" w:rsidP="00EF3402">
      <w:pPr>
        <w:spacing w:line="360" w:lineRule="auto"/>
        <w:ind w:firstLine="1296"/>
        <w:jc w:val="both"/>
      </w:pPr>
      <w:r w:rsidRPr="006D0AF4">
        <w:t>Nuo piktybinių navikų daugiausia mirė  virš 65 m. amžiaus Šalčininkų r.</w:t>
      </w:r>
      <w:r>
        <w:t xml:space="preserve"> sav.</w:t>
      </w:r>
      <w:r w:rsidRPr="006D0AF4">
        <w:t xml:space="preserve"> gyventojų – 68, kitose amžiaus grupėse: 18 – 44 m. – 4 gyv., 45-64 m. – 32 gyv., nei vieno mirties atvejo nenustatyta 0-17 m. amžiaus grupėje.</w:t>
      </w:r>
    </w:p>
    <w:p w:rsidR="00EF3402" w:rsidRPr="006D0AF4" w:rsidRDefault="00EF3402" w:rsidP="00EF3402">
      <w:pPr>
        <w:spacing w:line="360" w:lineRule="auto"/>
        <w:ind w:firstLine="1296"/>
        <w:jc w:val="both"/>
      </w:pPr>
      <w:r w:rsidRPr="006D0AF4">
        <w:lastRenderedPageBreak/>
        <w:t>Analizuojant mirtingumą nuo piktybinių navik</w:t>
      </w:r>
      <w:r>
        <w:t xml:space="preserve">ų pagal skirtingą lokalizaciją nustatyta, kad </w:t>
      </w:r>
      <w:r w:rsidRPr="006D0AF4">
        <w:t xml:space="preserve">daugiausia asmenų Šalčininkų r. sav.  2019 m. mirė nuo skrandžio piktybinio naviko – </w:t>
      </w:r>
      <w:r>
        <w:t xml:space="preserve">15 (14,4 proc). mirties atvejų bei </w:t>
      </w:r>
      <w:r w:rsidRPr="006D0AF4">
        <w:t>broncho ir plaučio piktybinio naviko – 14 (13,5 proc.) mirties atvejų (</w:t>
      </w:r>
      <w:r>
        <w:t xml:space="preserve">4 </w:t>
      </w:r>
      <w:r w:rsidRPr="006D0AF4">
        <w:t>pav.).</w:t>
      </w:r>
    </w:p>
    <w:p w:rsidR="00EF3402" w:rsidRDefault="00EF3402" w:rsidP="00EF3402">
      <w:pPr>
        <w:spacing w:line="360" w:lineRule="auto"/>
        <w:ind w:firstLine="1296"/>
        <w:jc w:val="both"/>
      </w:pPr>
    </w:p>
    <w:p w:rsidR="00EF3402" w:rsidRPr="006D0AF4" w:rsidRDefault="00EF3402" w:rsidP="00EF3402">
      <w:pPr>
        <w:spacing w:line="360" w:lineRule="auto"/>
        <w:jc w:val="both"/>
      </w:pPr>
      <w:r w:rsidRPr="00211235">
        <w:rPr>
          <w:lang w:eastAsia="lt-LT"/>
        </w:rPr>
        <w:drawing>
          <wp:inline distT="0" distB="0" distL="0" distR="0">
            <wp:extent cx="5972175" cy="2343150"/>
            <wp:effectExtent l="0" t="0" r="9525"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972175" cy="2343150"/>
                    </a:xfrm>
                    <a:prstGeom prst="rect">
                      <a:avLst/>
                    </a:prstGeom>
                    <a:noFill/>
                    <a:ln>
                      <a:noFill/>
                    </a:ln>
                  </pic:spPr>
                </pic:pic>
              </a:graphicData>
            </a:graphic>
          </wp:inline>
        </w:drawing>
      </w:r>
    </w:p>
    <w:p w:rsidR="00EF3402" w:rsidRPr="00811BD6" w:rsidRDefault="00EF3402" w:rsidP="00EF3402">
      <w:pPr>
        <w:spacing w:line="360" w:lineRule="auto"/>
        <w:jc w:val="center"/>
        <w:rPr>
          <w:i/>
        </w:rPr>
      </w:pPr>
      <w:r w:rsidRPr="00811BD6">
        <w:rPr>
          <w:b/>
          <w:i/>
        </w:rPr>
        <w:t>4 pav.</w:t>
      </w:r>
      <w:r w:rsidRPr="00811BD6">
        <w:rPr>
          <w:i/>
        </w:rPr>
        <w:t xml:space="preserve"> Mirčių skaičius pagal piktybinių navikų lokalizaciją 2019 m Šalčininkų r. sav.</w:t>
      </w:r>
    </w:p>
    <w:p w:rsidR="00EF3402" w:rsidRPr="00323AA6" w:rsidRDefault="00EF3402" w:rsidP="00EF3402">
      <w:pPr>
        <w:pStyle w:val="Antrat1"/>
      </w:pPr>
      <w:bookmarkStart w:id="25" w:name="_Toc58762850"/>
      <w:bookmarkStart w:id="26" w:name="_Toc58762894"/>
      <w:bookmarkStart w:id="27" w:name="_Toc58762903"/>
      <w:bookmarkStart w:id="28" w:name="_Toc58936313"/>
      <w:r w:rsidRPr="00323AA6">
        <w:t>4.3. IŠVENGIAMOS HOSPITALIZACIJOS</w:t>
      </w:r>
      <w:bookmarkEnd w:id="25"/>
      <w:bookmarkEnd w:id="26"/>
      <w:bookmarkEnd w:id="27"/>
      <w:bookmarkEnd w:id="28"/>
    </w:p>
    <w:p w:rsidR="00EF3402" w:rsidRPr="006D0AF4" w:rsidRDefault="00EF3402" w:rsidP="00EF3402">
      <w:pPr>
        <w:spacing w:line="360" w:lineRule="auto"/>
        <w:jc w:val="both"/>
      </w:pPr>
    </w:p>
    <w:p w:rsidR="00EF3402" w:rsidRPr="006D0AF4" w:rsidRDefault="00EF3402" w:rsidP="00EF3402">
      <w:pPr>
        <w:spacing w:line="360" w:lineRule="auto"/>
        <w:ind w:firstLine="1296"/>
        <w:jc w:val="both"/>
      </w:pPr>
      <w:r w:rsidRPr="006D0AF4">
        <w:t xml:space="preserve">Išvengiamos hospitalizacijos – tai ligos (išvengiamos dėl skiepų, lėtinės ir ūminės ligos), kurių hospitalizacijų galima išvengti prevencinėmis priemonėmis ar ankstyvu ambulatoriniu gydymu. Išvengiamų hospitalizacijų skaičiaus mažinimas yra vienas iš geriausių būdų sutaupyti sveikatos priežiūros sektoriaus resursus, tai taip pat yra pirminės sveikatos priežiūros paslaugų kokybės ir prieinamumo rodiklis. </w:t>
      </w:r>
    </w:p>
    <w:p w:rsidR="00EF3402" w:rsidRPr="006D0AF4" w:rsidRDefault="00EF3402" w:rsidP="00EF3402">
      <w:pPr>
        <w:spacing w:line="360" w:lineRule="auto"/>
        <w:ind w:firstLine="1296"/>
        <w:jc w:val="both"/>
      </w:pPr>
      <w:r w:rsidRPr="006D0AF4">
        <w:t>Vertinant išvengiamų hospitalizacijų skaičių 1 000 gyv</w:t>
      </w:r>
      <w:r>
        <w:t>.</w:t>
      </w:r>
      <w:r w:rsidRPr="006D0AF4">
        <w:t>, Šalčininkų r. sav. patenka į ketvertuką savivaldybių, kuriose šis rodiklis 2019 m. buvo didžiausias</w:t>
      </w:r>
      <w:r>
        <w:t xml:space="preserve"> (52,</w:t>
      </w:r>
      <w:r w:rsidRPr="00FF56C4">
        <w:t>8</w:t>
      </w:r>
      <w:r>
        <w:t>/1 000 gyv.)</w:t>
      </w:r>
      <w:r w:rsidRPr="006D0AF4">
        <w:t>. Lyginant su Lietuvos rodikliu, išvengiamų hospitalizacijų skaičius mūsų rajone buv</w:t>
      </w:r>
      <w:r>
        <w:t>o 1,68  karto didesnis. Nuo 201</w:t>
      </w:r>
      <w:r w:rsidRPr="00211235">
        <w:t>4</w:t>
      </w:r>
      <w:r w:rsidRPr="006D0AF4">
        <w:t xml:space="preserve"> m. kasmet išve</w:t>
      </w:r>
      <w:r>
        <w:t>ngiamų hospitalizacijų skaičius Šalčininkų r. sav. didėja (5</w:t>
      </w:r>
      <w:r w:rsidRPr="006D0AF4">
        <w:t xml:space="preserve"> pav.).</w:t>
      </w:r>
    </w:p>
    <w:p w:rsidR="00EF3402" w:rsidRPr="006D0AF4" w:rsidRDefault="00EF3402" w:rsidP="00EF3402">
      <w:pPr>
        <w:spacing w:line="360" w:lineRule="auto"/>
      </w:pPr>
      <w:r w:rsidRPr="00DC28D5">
        <w:rPr>
          <w:lang w:eastAsia="lt-LT"/>
        </w:rPr>
        <w:drawing>
          <wp:inline distT="0" distB="0" distL="0" distR="0">
            <wp:extent cx="5940425" cy="2511425"/>
            <wp:effectExtent l="0" t="0" r="3175" b="3175"/>
            <wp:docPr id="5" name="Diagrama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r w:rsidRPr="006D0AF4">
        <w:t xml:space="preserve">  </w:t>
      </w:r>
    </w:p>
    <w:p w:rsidR="00EF3402" w:rsidRPr="008034A8" w:rsidRDefault="00EF3402" w:rsidP="00EF3402">
      <w:pPr>
        <w:spacing w:line="360" w:lineRule="auto"/>
        <w:ind w:firstLine="1296"/>
        <w:jc w:val="both"/>
        <w:rPr>
          <w:i/>
        </w:rPr>
      </w:pPr>
      <w:r w:rsidRPr="008034A8">
        <w:rPr>
          <w:b/>
          <w:i/>
        </w:rPr>
        <w:t>5</w:t>
      </w:r>
      <w:r w:rsidRPr="00811BD6">
        <w:rPr>
          <w:b/>
          <w:i/>
        </w:rPr>
        <w:t xml:space="preserve"> pav.</w:t>
      </w:r>
      <w:r w:rsidRPr="00811BD6">
        <w:rPr>
          <w:i/>
        </w:rPr>
        <w:t xml:space="preserve"> Išvengiamos hospitalizacijos 1 000 gyv. Šalčininkų r. sav. 201</w:t>
      </w:r>
      <w:r>
        <w:rPr>
          <w:i/>
        </w:rPr>
        <w:t>5</w:t>
      </w:r>
      <w:r w:rsidRPr="00811BD6">
        <w:rPr>
          <w:i/>
        </w:rPr>
        <w:t>-2019 m.</w:t>
      </w:r>
    </w:p>
    <w:p w:rsidR="00EF3402" w:rsidRPr="008034A8" w:rsidRDefault="00EF3402" w:rsidP="00EF3402">
      <w:pPr>
        <w:spacing w:line="360" w:lineRule="auto"/>
        <w:ind w:firstLine="1296"/>
        <w:jc w:val="both"/>
      </w:pPr>
    </w:p>
    <w:p w:rsidR="00EF3402" w:rsidRPr="008034A8" w:rsidRDefault="00EF3402" w:rsidP="00EF3402">
      <w:pPr>
        <w:spacing w:line="360" w:lineRule="auto"/>
        <w:ind w:firstLine="1296"/>
        <w:jc w:val="both"/>
      </w:pPr>
      <w:r w:rsidRPr="006D0AF4">
        <w:t>2019 m. Šalčininkų r. sav.</w:t>
      </w:r>
      <w:r w:rsidRPr="00211235">
        <w:t xml:space="preserve"> </w:t>
      </w:r>
      <w:r w:rsidRPr="006D0AF4">
        <w:t>dažniausios išvengiamų hospitalizacijų priežastys stazinis širdies nepakankamumas, pn</w:t>
      </w:r>
      <w:r>
        <w:t xml:space="preserve">eumonija ir cukrinis diabetas. </w:t>
      </w:r>
      <w:r w:rsidRPr="006D0AF4">
        <w:t xml:space="preserve">Analizuojant išvengiamo hospitalizavimo priežastis skirtingose amžiaus grupėse nustatyta, kad vaikai (1-17 m.) dažniausiai hospitalizuojami  dėl lėtinės obstrukcinės plaučiu ligos ir ausų nosies ir gerklės infekcijų (otitas, faringitas, tonzilitas, gripas, lėtinis faringitas). </w:t>
      </w:r>
      <w:r w:rsidRPr="008034A8">
        <w:t>Darbingo ir  pensinio amžiaus gyventojų pagrindinė išvengiamų hospitalizacijų priežastis – stazinis širdies nepakankamumas (2 lentelė).</w:t>
      </w:r>
    </w:p>
    <w:p w:rsidR="00EF3402" w:rsidRPr="008034A8" w:rsidRDefault="00EF3402" w:rsidP="00EF3402">
      <w:pPr>
        <w:spacing w:line="360" w:lineRule="auto"/>
        <w:jc w:val="both"/>
      </w:pPr>
    </w:p>
    <w:p w:rsidR="00EF3402" w:rsidRPr="00811BD6" w:rsidRDefault="00EF3402" w:rsidP="00EF3402">
      <w:pPr>
        <w:spacing w:line="360" w:lineRule="auto"/>
        <w:jc w:val="center"/>
        <w:rPr>
          <w:i/>
        </w:rPr>
      </w:pPr>
      <w:r w:rsidRPr="00811BD6">
        <w:rPr>
          <w:b/>
          <w:i/>
        </w:rPr>
        <w:t>2 lentelė.</w:t>
      </w:r>
      <w:r w:rsidRPr="00811BD6">
        <w:rPr>
          <w:i/>
        </w:rPr>
        <w:t xml:space="preserve"> Išvengiamų hospitalizacijų skaičius</w:t>
      </w:r>
      <w:r>
        <w:rPr>
          <w:i/>
        </w:rPr>
        <w:t xml:space="preserve"> </w:t>
      </w:r>
      <w:r w:rsidRPr="00811BD6">
        <w:rPr>
          <w:i/>
        </w:rPr>
        <w:t>pagal amžiaus grupes Šalčininkų r. sav. 2019 m.</w:t>
      </w:r>
    </w:p>
    <w:tbl>
      <w:tblPr>
        <w:tblpPr w:leftFromText="180" w:rightFromText="180" w:vertAnchor="text" w:horzAnchor="margin" w:tblpY="5645"/>
        <w:tblOverlap w:val="neve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74"/>
        <w:gridCol w:w="336"/>
        <w:gridCol w:w="270"/>
        <w:gridCol w:w="964"/>
        <w:gridCol w:w="240"/>
        <w:gridCol w:w="864"/>
        <w:gridCol w:w="240"/>
        <w:gridCol w:w="919"/>
      </w:tblGrid>
      <w:tr w:rsidR="00EF3402" w:rsidRPr="006D0AF4" w:rsidTr="0070590D">
        <w:tc>
          <w:tcPr>
            <w:tcW w:w="974" w:type="dxa"/>
            <w:shd w:val="clear" w:color="auto" w:fill="FFFFFF"/>
            <w:vAlign w:val="center"/>
            <w:hideMark/>
          </w:tcPr>
          <w:p w:rsidR="00EF3402" w:rsidRPr="00811BD6" w:rsidRDefault="00EF3402" w:rsidP="0070590D">
            <w:pPr>
              <w:rPr>
                <w:color w:val="72747B"/>
                <w:sz w:val="20"/>
                <w:szCs w:val="20"/>
              </w:rPr>
            </w:pPr>
            <w:r w:rsidRPr="00811BD6">
              <w:rPr>
                <w:color w:val="72747B"/>
                <w:sz w:val="20"/>
                <w:szCs w:val="20"/>
              </w:rPr>
              <w:t>Tendencija:</w:t>
            </w:r>
          </w:p>
        </w:tc>
        <w:tc>
          <w:tcPr>
            <w:tcW w:w="0" w:type="auto"/>
            <w:shd w:val="clear" w:color="auto" w:fill="FFFFFF"/>
            <w:tcMar>
              <w:top w:w="15" w:type="dxa"/>
              <w:left w:w="120" w:type="dxa"/>
              <w:bottom w:w="15" w:type="dxa"/>
              <w:right w:w="210" w:type="dxa"/>
            </w:tcMar>
            <w:vAlign w:val="center"/>
            <w:hideMark/>
          </w:tcPr>
          <w:p w:rsidR="00EF3402" w:rsidRPr="00811BD6" w:rsidRDefault="00EF3402" w:rsidP="0070590D">
            <w:pPr>
              <w:rPr>
                <w:color w:val="72747B"/>
                <w:sz w:val="20"/>
                <w:szCs w:val="20"/>
              </w:rPr>
            </w:pPr>
          </w:p>
        </w:tc>
        <w:tc>
          <w:tcPr>
            <w:tcW w:w="0" w:type="auto"/>
            <w:shd w:val="clear" w:color="auto" w:fill="FFFFFF"/>
            <w:vAlign w:val="center"/>
            <w:hideMark/>
          </w:tcPr>
          <w:p w:rsidR="00EF3402" w:rsidRPr="00811BD6" w:rsidRDefault="00EF3402" w:rsidP="0070590D">
            <w:pPr>
              <w:rPr>
                <w:color w:val="72747B"/>
                <w:sz w:val="20"/>
                <w:szCs w:val="20"/>
              </w:rPr>
            </w:pPr>
            <w:r w:rsidRPr="00811BD6">
              <w:rPr>
                <w:color w:val="72747B"/>
                <w:sz w:val="20"/>
                <w:szCs w:val="20"/>
                <w:lang w:eastAsia="lt-LT"/>
              </w:rPr>
              <w:drawing>
                <wp:inline distT="0" distB="0" distL="0" distR="0">
                  <wp:extent cx="152400" cy="161925"/>
                  <wp:effectExtent l="0" t="0" r="0" b="9525"/>
                  <wp:docPr id="4" name="Paveikslėlis 4" descr="Описание: https://sveikstat.hi.lt/assets/charts/no_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descr="Описание: https://sveikstat.hi.lt/assets/charts/no_chan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0" w:type="auto"/>
            <w:shd w:val="clear" w:color="auto" w:fill="FFFFFF"/>
            <w:tcMar>
              <w:top w:w="15" w:type="dxa"/>
              <w:left w:w="120" w:type="dxa"/>
              <w:bottom w:w="15" w:type="dxa"/>
              <w:right w:w="210" w:type="dxa"/>
            </w:tcMar>
            <w:vAlign w:val="center"/>
            <w:hideMark/>
          </w:tcPr>
          <w:p w:rsidR="00EF3402" w:rsidRPr="00811BD6" w:rsidRDefault="00EF3402" w:rsidP="0070590D">
            <w:pPr>
              <w:rPr>
                <w:color w:val="72747B"/>
                <w:sz w:val="20"/>
                <w:szCs w:val="20"/>
              </w:rPr>
            </w:pPr>
            <w:r w:rsidRPr="00811BD6">
              <w:rPr>
                <w:color w:val="72747B"/>
                <w:sz w:val="20"/>
                <w:szCs w:val="20"/>
              </w:rPr>
              <w:t>Nekinta</w:t>
            </w:r>
          </w:p>
        </w:tc>
        <w:tc>
          <w:tcPr>
            <w:tcW w:w="0" w:type="auto"/>
            <w:shd w:val="clear" w:color="auto" w:fill="FFFFFF"/>
            <w:vAlign w:val="center"/>
            <w:hideMark/>
          </w:tcPr>
          <w:p w:rsidR="00EF3402" w:rsidRPr="00811BD6" w:rsidRDefault="00EF3402" w:rsidP="0070590D">
            <w:pPr>
              <w:rPr>
                <w:color w:val="72747B"/>
                <w:sz w:val="20"/>
                <w:szCs w:val="20"/>
              </w:rPr>
            </w:pPr>
            <w:r w:rsidRPr="00811BD6">
              <w:rPr>
                <w:color w:val="72747B"/>
                <w:sz w:val="20"/>
                <w:szCs w:val="20"/>
                <w:lang w:eastAsia="lt-LT"/>
              </w:rPr>
              <w:drawing>
                <wp:inline distT="0" distB="0" distL="0" distR="0">
                  <wp:extent cx="133350" cy="161925"/>
                  <wp:effectExtent l="0" t="0" r="0" b="9525"/>
                  <wp:docPr id="3" name="Paveikslėlis 3" descr="Описание: https://sveikstat.hi.lt/assets/chart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descr="Описание: https://sveikstat.hi.lt/assets/charts/up.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0" w:type="auto"/>
            <w:shd w:val="clear" w:color="auto" w:fill="FFFFFF"/>
            <w:tcMar>
              <w:top w:w="15" w:type="dxa"/>
              <w:left w:w="120" w:type="dxa"/>
              <w:bottom w:w="15" w:type="dxa"/>
              <w:right w:w="210" w:type="dxa"/>
            </w:tcMar>
            <w:vAlign w:val="center"/>
            <w:hideMark/>
          </w:tcPr>
          <w:p w:rsidR="00EF3402" w:rsidRPr="00811BD6" w:rsidRDefault="00EF3402" w:rsidP="0070590D">
            <w:pPr>
              <w:rPr>
                <w:color w:val="72747B"/>
                <w:sz w:val="20"/>
                <w:szCs w:val="20"/>
              </w:rPr>
            </w:pPr>
            <w:r w:rsidRPr="00811BD6">
              <w:rPr>
                <w:color w:val="72747B"/>
                <w:sz w:val="20"/>
                <w:szCs w:val="20"/>
              </w:rPr>
              <w:t>Didėja</w:t>
            </w:r>
          </w:p>
        </w:tc>
        <w:tc>
          <w:tcPr>
            <w:tcW w:w="0" w:type="auto"/>
            <w:shd w:val="clear" w:color="auto" w:fill="FFFFFF"/>
            <w:vAlign w:val="center"/>
            <w:hideMark/>
          </w:tcPr>
          <w:p w:rsidR="00EF3402" w:rsidRPr="00811BD6" w:rsidRDefault="00EF3402" w:rsidP="0070590D">
            <w:pPr>
              <w:rPr>
                <w:color w:val="72747B"/>
                <w:sz w:val="20"/>
                <w:szCs w:val="20"/>
              </w:rPr>
            </w:pPr>
            <w:r w:rsidRPr="00811BD6">
              <w:rPr>
                <w:color w:val="72747B"/>
                <w:sz w:val="20"/>
                <w:szCs w:val="20"/>
                <w:lang w:eastAsia="lt-LT"/>
              </w:rPr>
              <w:drawing>
                <wp:inline distT="0" distB="0" distL="0" distR="0">
                  <wp:extent cx="133350" cy="161925"/>
                  <wp:effectExtent l="0" t="0" r="0" b="9525"/>
                  <wp:docPr id="2" name="Paveikslėlis 2" descr="Описание: https://sveikstat.hi.lt/assets/chart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descr="Описание: https://sveikstat.hi.lt/assets/charts/dow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0" w:type="auto"/>
            <w:shd w:val="clear" w:color="auto" w:fill="FFFFFF"/>
            <w:tcMar>
              <w:top w:w="15" w:type="dxa"/>
              <w:left w:w="120" w:type="dxa"/>
              <w:bottom w:w="15" w:type="dxa"/>
              <w:right w:w="210" w:type="dxa"/>
            </w:tcMar>
            <w:vAlign w:val="center"/>
            <w:hideMark/>
          </w:tcPr>
          <w:p w:rsidR="00EF3402" w:rsidRPr="00811BD6" w:rsidRDefault="00EF3402" w:rsidP="0070590D">
            <w:pPr>
              <w:rPr>
                <w:color w:val="72747B"/>
                <w:sz w:val="20"/>
                <w:szCs w:val="20"/>
              </w:rPr>
            </w:pPr>
            <w:r w:rsidRPr="00811BD6">
              <w:rPr>
                <w:color w:val="72747B"/>
                <w:sz w:val="20"/>
                <w:szCs w:val="20"/>
              </w:rPr>
              <w:t>Mažėja</w:t>
            </w:r>
          </w:p>
        </w:tc>
      </w:tr>
    </w:tbl>
    <w:p w:rsidR="00EF3402" w:rsidRPr="00811BD6" w:rsidRDefault="00EF3402" w:rsidP="00EF3402">
      <w:pPr>
        <w:spacing w:line="360" w:lineRule="auto"/>
        <w:jc w:val="both"/>
      </w:pPr>
      <w:r w:rsidRPr="00211235">
        <w:rPr>
          <w:color w:val="000000"/>
          <w:lang w:eastAsia="lt-LT"/>
        </w:rPr>
        <w:drawing>
          <wp:inline distT="0" distB="0" distL="0" distR="0">
            <wp:extent cx="5686425" cy="34861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pic:cNvPicPr>
                      <a:picLocks noChangeAspect="1" noChangeArrowheads="1"/>
                    </pic:cNvPicPr>
                  </pic:nvPicPr>
                  <pic:blipFill>
                    <a:blip r:embed="rId82">
                      <a:extLst>
                        <a:ext uri="{28A0092B-C50C-407E-A947-70E740481C1C}">
                          <a14:useLocalDpi xmlns:a14="http://schemas.microsoft.com/office/drawing/2010/main" val="0"/>
                        </a:ext>
                      </a:extLst>
                    </a:blip>
                    <a:srcRect l="22237" t="15303" r="22501" b="24396"/>
                    <a:stretch>
                      <a:fillRect/>
                    </a:stretch>
                  </pic:blipFill>
                  <pic:spPr bwMode="auto">
                    <a:xfrm>
                      <a:off x="0" y="0"/>
                      <a:ext cx="5686425" cy="3486150"/>
                    </a:xfrm>
                    <a:prstGeom prst="rect">
                      <a:avLst/>
                    </a:prstGeom>
                    <a:noFill/>
                    <a:ln>
                      <a:noFill/>
                    </a:ln>
                  </pic:spPr>
                </pic:pic>
              </a:graphicData>
            </a:graphic>
          </wp:inline>
        </w:drawing>
      </w:r>
    </w:p>
    <w:p w:rsidR="00EF3402" w:rsidRPr="00811BD6" w:rsidRDefault="00EF3402" w:rsidP="00EF3402">
      <w:pPr>
        <w:pStyle w:val="Antrat1"/>
        <w:numPr>
          <w:ilvl w:val="0"/>
          <w:numId w:val="33"/>
        </w:numPr>
        <w:tabs>
          <w:tab w:val="clear" w:pos="1134"/>
        </w:tabs>
        <w:spacing w:before="240" w:after="60" w:line="276" w:lineRule="auto"/>
      </w:pPr>
      <w:bookmarkStart w:id="29" w:name="_Toc58762851"/>
      <w:bookmarkStart w:id="30" w:name="_Toc58762895"/>
      <w:bookmarkStart w:id="31" w:name="_Toc58762904"/>
      <w:bookmarkStart w:id="32" w:name="_Toc58936314"/>
      <w:r w:rsidRPr="00811BD6">
        <w:t>IŠVADOS</w:t>
      </w:r>
      <w:bookmarkEnd w:id="29"/>
      <w:bookmarkEnd w:id="30"/>
      <w:bookmarkEnd w:id="31"/>
      <w:bookmarkEnd w:id="32"/>
    </w:p>
    <w:p w:rsidR="00EF3402" w:rsidRPr="006D0AF4" w:rsidRDefault="00EF3402" w:rsidP="00EF3402">
      <w:pPr>
        <w:ind w:left="720"/>
      </w:pPr>
    </w:p>
    <w:p w:rsidR="00EF3402" w:rsidRPr="006D0AF4" w:rsidRDefault="00EF3402" w:rsidP="00EF3402">
      <w:pPr>
        <w:spacing w:line="360" w:lineRule="auto"/>
        <w:jc w:val="both"/>
      </w:pPr>
      <w:r>
        <w:t xml:space="preserve">1. </w:t>
      </w:r>
      <w:r w:rsidRPr="006D0AF4">
        <w:t>Mirtingumas nu</w:t>
      </w:r>
      <w:r>
        <w:t>o kraujotakos sistemos ligų 2019</w:t>
      </w:r>
      <w:r w:rsidRPr="006D0AF4">
        <w:t xml:space="preserve"> m. Šalčininkų r. sav.</w:t>
      </w:r>
      <w:r>
        <w:t xml:space="preserve"> </w:t>
      </w:r>
      <w:r w:rsidRPr="006D0AF4">
        <w:t>sudarė 56,8 proc. bendro mirtingumo,</w:t>
      </w:r>
      <w:r>
        <w:t xml:space="preserve"> </w:t>
      </w:r>
      <w:r w:rsidRPr="006D0AF4">
        <w:t>lyginant su kitomis</w:t>
      </w:r>
      <w:r>
        <w:t xml:space="preserve"> </w:t>
      </w:r>
      <w:r w:rsidRPr="006D0AF4">
        <w:t xml:space="preserve">savivaldybėmis situacija yra prasčiausia. Didžiausias </w:t>
      </w:r>
      <w:r>
        <w:t xml:space="preserve">standartizuotas </w:t>
      </w:r>
      <w:r w:rsidRPr="006D0AF4">
        <w:t>mirtingumas</w:t>
      </w:r>
      <w:r>
        <w:t xml:space="preserve"> nuo kraujotakos sistemos ligų</w:t>
      </w:r>
      <w:r w:rsidRPr="006D0AF4">
        <w:t xml:space="preserve"> yra fiksuojamas tarp kaimo gyventojų, pagal amžių – virš 65 m. amžiaus grupėje ir pagal lytį – vyrų tarpe. Dažniausios kraujotakos sistemos ligų mirties priežastys: lėtinė išeminė širdies liga, hipertenzinė širdies liga ir smegenų infarktas.</w:t>
      </w:r>
      <w:r>
        <w:t xml:space="preserve"> 2019 metais stebima neigiama tendencija – standartizuoto mirtingumo didėjimas.</w:t>
      </w:r>
    </w:p>
    <w:p w:rsidR="00EF3402" w:rsidRPr="006D0AF4" w:rsidRDefault="00EF3402" w:rsidP="00EF3402">
      <w:pPr>
        <w:spacing w:line="360" w:lineRule="auto"/>
        <w:jc w:val="both"/>
      </w:pPr>
      <w:r w:rsidRPr="006D0AF4">
        <w:t xml:space="preserve">2. Mirtingumas nuo piktybinių navikų 2019 m. sudarė 19,6 proc. </w:t>
      </w:r>
      <w:r>
        <w:t>bendro mirtingumo Šalčininkų r. sav. G</w:t>
      </w:r>
      <w:r w:rsidRPr="006D0AF4">
        <w:t xml:space="preserve">yventojų standartizuotas mirtingumo nuo piktybinių navikų rodiklis lyginant su kitomis šalies savivaldybėmis </w:t>
      </w:r>
      <w:r>
        <w:t>yra didžiausias.</w:t>
      </w:r>
      <w:r w:rsidRPr="006D0AF4">
        <w:t xml:space="preserve"> Daugiausia asmenų Šalčininkų r. sav.  2019 m. mirė nuo skrandžio piktybinio naviko – 15 (14,4 proc). mirties atvejų, broncho ir plaučio piktybinio naviko – 14 (13,5 proc.) mirties atvejų . Didžiausias mirtingumas fiksuojamas vyrų tarpe, tarp kaimo gyventojų ir 65+ m. asmenų grupėje. </w:t>
      </w:r>
      <w:r>
        <w:t>Stebima neigiama tendencija – standartizuoto mirtingumo didėjimas.</w:t>
      </w:r>
    </w:p>
    <w:p w:rsidR="00EF3402" w:rsidRPr="006D0AF4" w:rsidRDefault="00EF3402" w:rsidP="00EF3402">
      <w:pPr>
        <w:spacing w:line="360" w:lineRule="auto"/>
        <w:jc w:val="both"/>
      </w:pPr>
      <w:r w:rsidRPr="006D0AF4">
        <w:lastRenderedPageBreak/>
        <w:t>3. Išvengiamų hospitalizacijų skaičius Šalčininkų r. sav. yra vienas didžiausių lygin</w:t>
      </w:r>
      <w:r>
        <w:t>ant su kitomis savivaldybėmis. N</w:t>
      </w:r>
      <w:r w:rsidRPr="006D0AF4">
        <w:t>uo 2012 m. kasmet išven</w:t>
      </w:r>
      <w:r>
        <w:t xml:space="preserve">giamų hospitalizacijų skaičius </w:t>
      </w:r>
      <w:r w:rsidRPr="006D0AF4">
        <w:t xml:space="preserve"> Šalčininkų r. sav. didėja. Didžiausią dalį išvengiamų hospitalizacijų sudaro išvengiamos hospitalizacijos dėl stazinio širdies nepakankamumo, lėtinės obstrukcinės plaučių ligos, pneumonijos. Dažniausiai hospitalizuojami darbingo ir pensinio amžiaus gyventojai į ligonines patenka dėl stazinio širdies nepakankamumo, vaikai hospitalizuojami  </w:t>
      </w:r>
      <w:r>
        <w:t>dėl lėtinės obstrukcinės plaučių</w:t>
      </w:r>
      <w:r w:rsidRPr="006D0AF4">
        <w:t xml:space="preserve"> ligos.</w:t>
      </w:r>
    </w:p>
    <w:p w:rsidR="00EF3402" w:rsidRPr="00811BD6" w:rsidRDefault="00EF3402" w:rsidP="00EF3402">
      <w:r>
        <w:br w:type="page"/>
      </w:r>
    </w:p>
    <w:p w:rsidR="00EF3402" w:rsidRPr="00811BD6" w:rsidRDefault="00EF3402" w:rsidP="00EF3402">
      <w:pPr>
        <w:pStyle w:val="Antrat1"/>
        <w:numPr>
          <w:ilvl w:val="0"/>
          <w:numId w:val="33"/>
        </w:numPr>
        <w:tabs>
          <w:tab w:val="clear" w:pos="1134"/>
        </w:tabs>
        <w:spacing w:before="240" w:line="276" w:lineRule="auto"/>
      </w:pPr>
      <w:bookmarkStart w:id="33" w:name="_Toc58762852"/>
      <w:bookmarkStart w:id="34" w:name="_Toc58762896"/>
      <w:bookmarkStart w:id="35" w:name="_Toc58762905"/>
      <w:bookmarkStart w:id="36" w:name="_Toc58936315"/>
      <w:r w:rsidRPr="00811BD6">
        <w:lastRenderedPageBreak/>
        <w:t>REKOMENDACIJOS</w:t>
      </w:r>
      <w:bookmarkEnd w:id="33"/>
      <w:bookmarkEnd w:id="34"/>
      <w:bookmarkEnd w:id="35"/>
      <w:bookmarkEnd w:id="36"/>
    </w:p>
    <w:p w:rsidR="00EF3402" w:rsidRPr="003C3C05" w:rsidRDefault="00EF3402" w:rsidP="00EF3402">
      <w:pPr>
        <w:spacing w:line="360" w:lineRule="auto"/>
        <w:jc w:val="both"/>
      </w:pPr>
    </w:p>
    <w:p w:rsidR="00EF3402" w:rsidRPr="008034A8" w:rsidRDefault="00EF3402" w:rsidP="00EF3402">
      <w:pPr>
        <w:spacing w:line="360" w:lineRule="auto"/>
        <w:jc w:val="both"/>
        <w:rPr>
          <w:b/>
          <w:color w:val="FF0000"/>
        </w:rPr>
      </w:pPr>
      <w:r w:rsidRPr="003C3C05">
        <w:rPr>
          <w:b/>
        </w:rPr>
        <w:t>Siekiant sumažinti gyventojų mirtingumą nuo kraujotakos sistemos ligų</w:t>
      </w:r>
      <w:r>
        <w:rPr>
          <w:b/>
        </w:rPr>
        <w:t xml:space="preserve"> ir nuo piktybinių navikų</w:t>
      </w:r>
      <w:r w:rsidRPr="003C3C05">
        <w:rPr>
          <w:b/>
        </w:rPr>
        <w:t xml:space="preserve"> rekomenduojame:  </w:t>
      </w:r>
    </w:p>
    <w:p w:rsidR="00EF3402" w:rsidRPr="00520388" w:rsidRDefault="00EF3402" w:rsidP="00EF3402">
      <w:pPr>
        <w:numPr>
          <w:ilvl w:val="0"/>
          <w:numId w:val="37"/>
        </w:numPr>
        <w:spacing w:line="360" w:lineRule="auto"/>
        <w:jc w:val="both"/>
        <w:rPr>
          <w:color w:val="000000"/>
        </w:rPr>
      </w:pPr>
      <w:r>
        <w:rPr>
          <w:color w:val="000000"/>
        </w:rPr>
        <w:t>V</w:t>
      </w:r>
      <w:r w:rsidRPr="00520388">
        <w:rPr>
          <w:color w:val="000000"/>
        </w:rPr>
        <w:t>isuomenės sveikatos biurui (toliau - VSB) inicijuoti programą, kurios tikslas raginti gyventojus reguliariai lankytis pas šeimos gydytojus, tikrintis sveikatą profilaktiškai;</w:t>
      </w:r>
    </w:p>
    <w:p w:rsidR="00EF3402" w:rsidRPr="00520388" w:rsidRDefault="00EF3402" w:rsidP="00EF3402">
      <w:pPr>
        <w:numPr>
          <w:ilvl w:val="0"/>
          <w:numId w:val="37"/>
        </w:numPr>
        <w:spacing w:line="360" w:lineRule="auto"/>
        <w:jc w:val="both"/>
        <w:rPr>
          <w:color w:val="000000"/>
        </w:rPr>
      </w:pPr>
      <w:r w:rsidRPr="00520388">
        <w:rPr>
          <w:color w:val="000000"/>
        </w:rPr>
        <w:t xml:space="preserve">telkiant VSB, </w:t>
      </w:r>
      <w:r>
        <w:rPr>
          <w:color w:val="000000"/>
        </w:rPr>
        <w:t>socialinių</w:t>
      </w:r>
      <w:r w:rsidRPr="00520388">
        <w:rPr>
          <w:color w:val="000000"/>
        </w:rPr>
        <w:t xml:space="preserve"> paslaugų centro ir asmens sveikatos priežiūros įstaig</w:t>
      </w:r>
      <w:r>
        <w:rPr>
          <w:color w:val="000000"/>
        </w:rPr>
        <w:t>ų</w:t>
      </w:r>
      <w:r w:rsidRPr="00520388">
        <w:rPr>
          <w:color w:val="000000"/>
        </w:rPr>
        <w:t xml:space="preserve"> (toliau - ASPĮ) sektorius didinti gyventojų informuotumą apie prevencines programas ir siųsti rizikos grupei priskirtus asmenis jose dalyvauti;</w:t>
      </w:r>
    </w:p>
    <w:p w:rsidR="00EF3402" w:rsidRDefault="00EF3402" w:rsidP="00EF3402">
      <w:pPr>
        <w:numPr>
          <w:ilvl w:val="0"/>
          <w:numId w:val="37"/>
        </w:numPr>
        <w:spacing w:line="360" w:lineRule="auto"/>
        <w:ind w:left="714" w:hanging="357"/>
        <w:rPr>
          <w:color w:val="000000"/>
        </w:rPr>
      </w:pPr>
      <w:r w:rsidRPr="00134ADF">
        <w:rPr>
          <w:color w:val="000000"/>
        </w:rPr>
        <w:t>Savivaldybėje vykstančių renginių</w:t>
      </w:r>
      <w:r>
        <w:rPr>
          <w:color w:val="000000"/>
        </w:rPr>
        <w:t>, ypač kaimo vietovėse,</w:t>
      </w:r>
      <w:r w:rsidRPr="00134ADF">
        <w:rPr>
          <w:color w:val="000000"/>
        </w:rPr>
        <w:t xml:space="preserve"> organizatoriams į renginių programas įtraukti sveikatą stiprinančias veiklas (susijusias su fizinio aktyvumo</w:t>
      </w:r>
      <w:r>
        <w:rPr>
          <w:color w:val="000000"/>
        </w:rPr>
        <w:t xml:space="preserve">, </w:t>
      </w:r>
      <w:r w:rsidRPr="00134ADF">
        <w:rPr>
          <w:color w:val="000000"/>
        </w:rPr>
        <w:t>sveikos mitybos skatinimu, pvz.: estafetės šeimoms, sveikatai palankių produktų mugės</w:t>
      </w:r>
      <w:r>
        <w:rPr>
          <w:color w:val="000000"/>
        </w:rPr>
        <w:t xml:space="preserve"> ir pan.)</w:t>
      </w:r>
    </w:p>
    <w:p w:rsidR="00EF3402" w:rsidRPr="00163CF5" w:rsidRDefault="00EF3402" w:rsidP="00EF3402">
      <w:pPr>
        <w:numPr>
          <w:ilvl w:val="0"/>
          <w:numId w:val="37"/>
        </w:numPr>
        <w:spacing w:line="360" w:lineRule="auto"/>
        <w:ind w:left="714" w:hanging="357"/>
        <w:rPr>
          <w:color w:val="000000"/>
        </w:rPr>
      </w:pPr>
      <w:r>
        <w:rPr>
          <w:color w:val="000000"/>
        </w:rPr>
        <w:t>K</w:t>
      </w:r>
      <w:r w:rsidRPr="00163CF5">
        <w:rPr>
          <w:color w:val="000000"/>
        </w:rPr>
        <w:t>elti savivaldybei pavaldžių įstaigų darbuotojų sveikatos raštingumą, pvz.: siunčiant dalyvauti seminaruose, konferencijose sveik</w:t>
      </w:r>
      <w:r>
        <w:rPr>
          <w:color w:val="000000"/>
        </w:rPr>
        <w:t>os gyvensenos, sveikos mitybos, žalingų įpročių prevencijos</w:t>
      </w:r>
      <w:r w:rsidRPr="00163CF5">
        <w:rPr>
          <w:color w:val="000000"/>
        </w:rPr>
        <w:t xml:space="preserve"> tem</w:t>
      </w:r>
      <w:r>
        <w:rPr>
          <w:color w:val="000000"/>
        </w:rPr>
        <w:t>omis</w:t>
      </w:r>
      <w:r w:rsidRPr="00163CF5">
        <w:rPr>
          <w:color w:val="000000"/>
        </w:rPr>
        <w:t>.</w:t>
      </w:r>
    </w:p>
    <w:p w:rsidR="00EF3402" w:rsidRPr="00520388" w:rsidRDefault="00EF3402" w:rsidP="00EF3402">
      <w:pPr>
        <w:spacing w:line="360" w:lineRule="auto"/>
        <w:jc w:val="both"/>
        <w:rPr>
          <w:b/>
          <w:color w:val="000000"/>
        </w:rPr>
      </w:pPr>
      <w:r w:rsidRPr="00520388">
        <w:rPr>
          <w:b/>
          <w:color w:val="000000"/>
        </w:rPr>
        <w:t>Siekiant sumažinti išvengiamų hospitalizacijų skaičių rekomenduojame:</w:t>
      </w:r>
    </w:p>
    <w:p w:rsidR="00EF3402" w:rsidRPr="00520388" w:rsidRDefault="00EF3402" w:rsidP="00EF3402">
      <w:pPr>
        <w:numPr>
          <w:ilvl w:val="0"/>
          <w:numId w:val="36"/>
        </w:numPr>
        <w:spacing w:line="360" w:lineRule="auto"/>
        <w:jc w:val="both"/>
        <w:rPr>
          <w:color w:val="000000"/>
        </w:rPr>
      </w:pPr>
      <w:r w:rsidRPr="00520388">
        <w:rPr>
          <w:color w:val="000000"/>
        </w:rPr>
        <w:t>ASPĮ užtikrinti nuoseklią ilgalaikę priežiūrą, pritaikant ir koordinuojant paslaugas skirtingus sveikatos priežiūros poreikius turintiems asmenims, gerinti ilgalaikės priežiūros paslaugų valdymą</w:t>
      </w:r>
      <w:r>
        <w:rPr>
          <w:color w:val="000000"/>
        </w:rPr>
        <w:t>;</w:t>
      </w:r>
    </w:p>
    <w:p w:rsidR="00EF3402" w:rsidRPr="00520388" w:rsidRDefault="00EF3402" w:rsidP="00EF3402">
      <w:pPr>
        <w:numPr>
          <w:ilvl w:val="0"/>
          <w:numId w:val="36"/>
        </w:numPr>
        <w:spacing w:line="360" w:lineRule="auto"/>
        <w:jc w:val="both"/>
        <w:rPr>
          <w:color w:val="000000"/>
        </w:rPr>
      </w:pPr>
      <w:r w:rsidRPr="00520388">
        <w:rPr>
          <w:color w:val="000000"/>
        </w:rPr>
        <w:t>ASPĮ gerinti ambulatorinės sveikatos priežiūros paslaugų prieinamumą ir kokybę.</w:t>
      </w:r>
    </w:p>
    <w:p w:rsidR="00EF3402" w:rsidRPr="002C74AE" w:rsidRDefault="00EF3402" w:rsidP="00EF3402">
      <w:pPr>
        <w:spacing w:line="360" w:lineRule="auto"/>
        <w:ind w:left="360"/>
        <w:jc w:val="both"/>
        <w:rPr>
          <w:color w:val="FF0000"/>
        </w:rPr>
      </w:pPr>
    </w:p>
    <w:p w:rsidR="00403B36" w:rsidRPr="00A7396B" w:rsidRDefault="00403B36" w:rsidP="00D674C9">
      <w:pPr>
        <w:ind w:firstLine="720"/>
        <w:jc w:val="both"/>
      </w:pPr>
    </w:p>
    <w:p w:rsidR="00403B36" w:rsidRPr="0024756D" w:rsidRDefault="00EF3402" w:rsidP="00EF3402">
      <w:pPr>
        <w:pStyle w:val="Antrats"/>
        <w:jc w:val="center"/>
        <w:rPr>
          <w:lang w:val="en-US"/>
        </w:rPr>
      </w:pPr>
      <w:r>
        <w:rPr>
          <w:lang w:val="en-US"/>
        </w:rPr>
        <w:t>-----------------------------------------</w:t>
      </w:r>
    </w:p>
    <w:sectPr w:rsidR="00403B36" w:rsidRPr="0024756D" w:rsidSect="0024756D">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CCA" w:rsidRDefault="00E76CCA">
      <w:r>
        <w:separator/>
      </w:r>
    </w:p>
  </w:endnote>
  <w:endnote w:type="continuationSeparator" w:id="0">
    <w:p w:rsidR="00E76CCA" w:rsidRDefault="00E7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charset w:val="BA"/>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SimSun, 宋体">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CCA" w:rsidRDefault="00E76CCA">
      <w:r>
        <w:separator/>
      </w:r>
    </w:p>
  </w:footnote>
  <w:footnote w:type="continuationSeparator" w:id="0">
    <w:p w:rsidR="00E76CCA" w:rsidRDefault="00E76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4031"/>
    <w:multiLevelType w:val="multilevel"/>
    <w:tmpl w:val="CEB46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297F69"/>
    <w:multiLevelType w:val="multilevel"/>
    <w:tmpl w:val="DDA0C6D2"/>
    <w:lvl w:ilvl="0">
      <w:numFmt w:val="bullet"/>
      <w:lvlText w:val="•"/>
      <w:lvlJc w:val="left"/>
      <w:pPr>
        <w:ind w:left="1650" w:hanging="129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3D3220"/>
    <w:multiLevelType w:val="hybridMultilevel"/>
    <w:tmpl w:val="4B86E7C0"/>
    <w:lvl w:ilvl="0" w:tplc="78282B88">
      <w:numFmt w:val="bullet"/>
      <w:lvlText w:val="•"/>
      <w:lvlJc w:val="left"/>
      <w:pPr>
        <w:ind w:left="1296" w:hanging="936"/>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E2B4090"/>
    <w:multiLevelType w:val="hybridMultilevel"/>
    <w:tmpl w:val="BDB8CE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4" w15:restartNumberingAfterBreak="0">
    <w:nsid w:val="0E7543EF"/>
    <w:multiLevelType w:val="hybridMultilevel"/>
    <w:tmpl w:val="C3C848B8"/>
    <w:lvl w:ilvl="0" w:tplc="A77A9768">
      <w:start w:val="1"/>
      <w:numFmt w:val="bullet"/>
      <w:lvlText w:val=""/>
      <w:lvlJc w:val="left"/>
      <w:pPr>
        <w:ind w:left="108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E823949"/>
    <w:multiLevelType w:val="hybridMultilevel"/>
    <w:tmpl w:val="FBBC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3B82420"/>
    <w:multiLevelType w:val="multilevel"/>
    <w:tmpl w:val="51BAB2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DB11B1"/>
    <w:multiLevelType w:val="hybridMultilevel"/>
    <w:tmpl w:val="DDA0C6D2"/>
    <w:lvl w:ilvl="0" w:tplc="C0E21E7C">
      <w:numFmt w:val="bullet"/>
      <w:lvlText w:val="•"/>
      <w:lvlJc w:val="left"/>
      <w:pPr>
        <w:ind w:left="1650" w:hanging="129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1877598"/>
    <w:multiLevelType w:val="hybridMultilevel"/>
    <w:tmpl w:val="002614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22DE6458"/>
    <w:multiLevelType w:val="hybridMultilevel"/>
    <w:tmpl w:val="892A9B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EEA7FC2"/>
    <w:multiLevelType w:val="hybridMultilevel"/>
    <w:tmpl w:val="0AC0C37A"/>
    <w:lvl w:ilvl="0" w:tplc="FEFA41C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F3832A0"/>
    <w:multiLevelType w:val="multilevel"/>
    <w:tmpl w:val="9C06221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AB5128"/>
    <w:multiLevelType w:val="multilevel"/>
    <w:tmpl w:val="07E88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2372BF5"/>
    <w:multiLevelType w:val="singleLevel"/>
    <w:tmpl w:val="1ED2EA3E"/>
    <w:lvl w:ilvl="0">
      <w:start w:val="1"/>
      <w:numFmt w:val="decimal"/>
      <w:lvlText w:val="%1."/>
      <w:lvlJc w:val="left"/>
      <w:pPr>
        <w:tabs>
          <w:tab w:val="num" w:pos="1530"/>
        </w:tabs>
        <w:ind w:left="1530" w:hanging="360"/>
      </w:pPr>
      <w:rPr>
        <w:rFonts w:hint="default"/>
      </w:rPr>
    </w:lvl>
  </w:abstractNum>
  <w:abstractNum w:abstractNumId="14" w15:restartNumberingAfterBreak="0">
    <w:nsid w:val="32800D13"/>
    <w:multiLevelType w:val="hybridMultilevel"/>
    <w:tmpl w:val="39409DE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15:restartNumberingAfterBreak="0">
    <w:nsid w:val="37531A03"/>
    <w:multiLevelType w:val="hybridMultilevel"/>
    <w:tmpl w:val="4454AB90"/>
    <w:lvl w:ilvl="0" w:tplc="C0E21E7C">
      <w:numFmt w:val="bullet"/>
      <w:lvlText w:val="•"/>
      <w:lvlJc w:val="left"/>
      <w:pPr>
        <w:ind w:left="1650" w:hanging="129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81E69F4"/>
    <w:multiLevelType w:val="multilevel"/>
    <w:tmpl w:val="F014E03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48256C97"/>
    <w:multiLevelType w:val="multilevel"/>
    <w:tmpl w:val="F88A6E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60"/>
        </w:tabs>
        <w:ind w:left="5460" w:hanging="1800"/>
      </w:pPr>
      <w:rPr>
        <w:rFonts w:hint="default"/>
      </w:rPr>
    </w:lvl>
  </w:abstractNum>
  <w:abstractNum w:abstractNumId="18" w15:restartNumberingAfterBreak="0">
    <w:nsid w:val="4AB019B0"/>
    <w:multiLevelType w:val="hybridMultilevel"/>
    <w:tmpl w:val="CF8CBC3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9" w15:restartNumberingAfterBreak="0">
    <w:nsid w:val="4D032300"/>
    <w:multiLevelType w:val="hybridMultilevel"/>
    <w:tmpl w:val="50F43256"/>
    <w:lvl w:ilvl="0" w:tplc="606A24E6">
      <w:start w:val="1"/>
      <w:numFmt w:val="decimal"/>
      <w:lvlText w:val="%1."/>
      <w:lvlJc w:val="left"/>
      <w:pPr>
        <w:ind w:left="720" w:hanging="360"/>
      </w:pPr>
      <w:rPr>
        <w:rFonts w:hint="default"/>
        <w:color w:val="auto"/>
        <w:sz w:val="24"/>
        <w:szCs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1E16296"/>
    <w:multiLevelType w:val="hybridMultilevel"/>
    <w:tmpl w:val="8028EF0C"/>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1" w15:restartNumberingAfterBreak="0">
    <w:nsid w:val="5848123D"/>
    <w:multiLevelType w:val="hybridMultilevel"/>
    <w:tmpl w:val="232A6028"/>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2" w15:restartNumberingAfterBreak="0">
    <w:nsid w:val="595E4186"/>
    <w:multiLevelType w:val="multilevel"/>
    <w:tmpl w:val="C4CE8F84"/>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B580909"/>
    <w:multiLevelType w:val="hybridMultilevel"/>
    <w:tmpl w:val="837461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4490202"/>
    <w:multiLevelType w:val="hybridMultilevel"/>
    <w:tmpl w:val="4B8804CE"/>
    <w:lvl w:ilvl="0" w:tplc="0427000F">
      <w:start w:val="3"/>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15:restartNumberingAfterBreak="0">
    <w:nsid w:val="69B21FD3"/>
    <w:multiLevelType w:val="hybridMultilevel"/>
    <w:tmpl w:val="8C9816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B310647"/>
    <w:multiLevelType w:val="hybridMultilevel"/>
    <w:tmpl w:val="FFA899DE"/>
    <w:lvl w:ilvl="0" w:tplc="733E8BC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B560391"/>
    <w:multiLevelType w:val="multilevel"/>
    <w:tmpl w:val="43D230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709733C7"/>
    <w:multiLevelType w:val="multilevel"/>
    <w:tmpl w:val="1004B3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70DC71A0"/>
    <w:multiLevelType w:val="multilevel"/>
    <w:tmpl w:val="AEDA5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719A72F3"/>
    <w:multiLevelType w:val="hybridMultilevel"/>
    <w:tmpl w:val="EF7E46B2"/>
    <w:lvl w:ilvl="0" w:tplc="C0E21E7C">
      <w:numFmt w:val="bullet"/>
      <w:lvlText w:val="•"/>
      <w:lvlJc w:val="left"/>
      <w:pPr>
        <w:ind w:left="1650" w:hanging="129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2254026"/>
    <w:multiLevelType w:val="hybridMultilevel"/>
    <w:tmpl w:val="2202FA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2" w15:restartNumberingAfterBreak="0">
    <w:nsid w:val="725D3771"/>
    <w:multiLevelType w:val="hybridMultilevel"/>
    <w:tmpl w:val="2E223326"/>
    <w:lvl w:ilvl="0" w:tplc="C0E21E7C">
      <w:numFmt w:val="bullet"/>
      <w:lvlText w:val="•"/>
      <w:lvlJc w:val="left"/>
      <w:pPr>
        <w:ind w:left="1650" w:hanging="129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37D4754"/>
    <w:multiLevelType w:val="singleLevel"/>
    <w:tmpl w:val="0C09000F"/>
    <w:lvl w:ilvl="0">
      <w:start w:val="1"/>
      <w:numFmt w:val="decimal"/>
      <w:lvlText w:val="%1."/>
      <w:lvlJc w:val="left"/>
      <w:pPr>
        <w:tabs>
          <w:tab w:val="num" w:pos="360"/>
        </w:tabs>
        <w:ind w:left="360" w:hanging="360"/>
      </w:pPr>
      <w:rPr>
        <w:rFonts w:hint="default"/>
        <w:b w:val="0"/>
        <w:bCs w:val="0"/>
        <w:i w:val="0"/>
        <w:iCs w:val="0"/>
      </w:rPr>
    </w:lvl>
  </w:abstractNum>
  <w:abstractNum w:abstractNumId="34" w15:restartNumberingAfterBreak="0">
    <w:nsid w:val="740D7609"/>
    <w:multiLevelType w:val="multilevel"/>
    <w:tmpl w:val="182E0C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74AE7BD9"/>
    <w:multiLevelType w:val="multilevel"/>
    <w:tmpl w:val="0F6C1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5E17834"/>
    <w:multiLevelType w:val="hybridMultilevel"/>
    <w:tmpl w:val="0EC88FB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6C1283F"/>
    <w:multiLevelType w:val="hybridMultilevel"/>
    <w:tmpl w:val="CDA849A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8" w15:restartNumberingAfterBreak="0">
    <w:nsid w:val="76DE68FD"/>
    <w:multiLevelType w:val="multilevel"/>
    <w:tmpl w:val="F0E65E42"/>
    <w:lvl w:ilvl="0">
      <w:start w:val="1"/>
      <w:numFmt w:val="decimal"/>
      <w:lvlText w:val="%1."/>
      <w:lvlJc w:val="left"/>
      <w:pPr>
        <w:tabs>
          <w:tab w:val="num" w:pos="420"/>
        </w:tabs>
        <w:ind w:left="420" w:hanging="420"/>
      </w:pPr>
      <w:rPr>
        <w:rFonts w:hint="default"/>
        <w:i w:val="0"/>
        <w:iCs w:val="0"/>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1440"/>
        </w:tabs>
        <w:ind w:left="1440" w:hanging="720"/>
      </w:pPr>
      <w:rPr>
        <w:rFonts w:hint="default"/>
        <w:i w:val="0"/>
        <w:iCs w:val="0"/>
      </w:rPr>
    </w:lvl>
    <w:lvl w:ilvl="3">
      <w:start w:val="1"/>
      <w:numFmt w:val="decimal"/>
      <w:lvlText w:val="%1.%2.%3.%4."/>
      <w:lvlJc w:val="left"/>
      <w:pPr>
        <w:tabs>
          <w:tab w:val="num" w:pos="1800"/>
        </w:tabs>
        <w:ind w:left="1800" w:hanging="720"/>
      </w:pPr>
      <w:rPr>
        <w:rFonts w:hint="default"/>
        <w:i w:val="0"/>
        <w:iCs w:val="0"/>
      </w:rPr>
    </w:lvl>
    <w:lvl w:ilvl="4">
      <w:start w:val="1"/>
      <w:numFmt w:val="decimal"/>
      <w:lvlText w:val="%1.%2.%3.%4.%5."/>
      <w:lvlJc w:val="left"/>
      <w:pPr>
        <w:tabs>
          <w:tab w:val="num" w:pos="2520"/>
        </w:tabs>
        <w:ind w:left="2520" w:hanging="1080"/>
      </w:pPr>
      <w:rPr>
        <w:rFonts w:hint="default"/>
        <w:i w:val="0"/>
        <w:iCs w:val="0"/>
      </w:rPr>
    </w:lvl>
    <w:lvl w:ilvl="5">
      <w:start w:val="1"/>
      <w:numFmt w:val="decimal"/>
      <w:lvlText w:val="%1.%2.%3.%4.%5.%6."/>
      <w:lvlJc w:val="left"/>
      <w:pPr>
        <w:tabs>
          <w:tab w:val="num" w:pos="2880"/>
        </w:tabs>
        <w:ind w:left="2880" w:hanging="1080"/>
      </w:pPr>
      <w:rPr>
        <w:rFonts w:hint="default"/>
        <w:i w:val="0"/>
        <w:iCs w:val="0"/>
      </w:rPr>
    </w:lvl>
    <w:lvl w:ilvl="6">
      <w:start w:val="1"/>
      <w:numFmt w:val="decimal"/>
      <w:lvlText w:val="%1.%2.%3.%4.%5.%6.%7."/>
      <w:lvlJc w:val="left"/>
      <w:pPr>
        <w:tabs>
          <w:tab w:val="num" w:pos="3600"/>
        </w:tabs>
        <w:ind w:left="3600" w:hanging="1440"/>
      </w:pPr>
      <w:rPr>
        <w:rFonts w:hint="default"/>
        <w:i w:val="0"/>
        <w:iCs w:val="0"/>
      </w:rPr>
    </w:lvl>
    <w:lvl w:ilvl="7">
      <w:start w:val="1"/>
      <w:numFmt w:val="decimal"/>
      <w:lvlText w:val="%1.%2.%3.%4.%5.%6.%7.%8."/>
      <w:lvlJc w:val="left"/>
      <w:pPr>
        <w:tabs>
          <w:tab w:val="num" w:pos="3960"/>
        </w:tabs>
        <w:ind w:left="3960" w:hanging="1440"/>
      </w:pPr>
      <w:rPr>
        <w:rFonts w:hint="default"/>
        <w:i w:val="0"/>
        <w:iCs w:val="0"/>
      </w:rPr>
    </w:lvl>
    <w:lvl w:ilvl="8">
      <w:start w:val="1"/>
      <w:numFmt w:val="decimal"/>
      <w:lvlText w:val="%1.%2.%3.%4.%5.%6.%7.%8.%9."/>
      <w:lvlJc w:val="left"/>
      <w:pPr>
        <w:tabs>
          <w:tab w:val="num" w:pos="4680"/>
        </w:tabs>
        <w:ind w:left="4680" w:hanging="1800"/>
      </w:pPr>
      <w:rPr>
        <w:rFonts w:hint="default"/>
        <w:i w:val="0"/>
        <w:iCs w:val="0"/>
      </w:rPr>
    </w:lvl>
  </w:abstractNum>
  <w:abstractNum w:abstractNumId="39" w15:restartNumberingAfterBreak="0">
    <w:nsid w:val="7B4A071D"/>
    <w:multiLevelType w:val="hybridMultilevel"/>
    <w:tmpl w:val="4E0215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BD86D36"/>
    <w:multiLevelType w:val="hybridMultilevel"/>
    <w:tmpl w:val="AB7058E2"/>
    <w:lvl w:ilvl="0" w:tplc="C0E21E7C">
      <w:numFmt w:val="bullet"/>
      <w:lvlText w:val="•"/>
      <w:lvlJc w:val="left"/>
      <w:pPr>
        <w:ind w:left="1650" w:hanging="129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C7326FE"/>
    <w:multiLevelType w:val="multilevel"/>
    <w:tmpl w:val="8744DF5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tabs>
          <w:tab w:val="num" w:pos="780"/>
        </w:tabs>
        <w:ind w:left="780" w:hanging="420"/>
      </w:pPr>
      <w:rPr>
        <w:rFonts w:hint="default"/>
        <w:i w:val="0"/>
        <w:iCs w:val="0"/>
      </w:rPr>
    </w:lvl>
    <w:lvl w:ilvl="2">
      <w:start w:val="1"/>
      <w:numFmt w:val="decimal"/>
      <w:isLgl/>
      <w:lvlText w:val="%1.%2.%3."/>
      <w:lvlJc w:val="left"/>
      <w:pPr>
        <w:tabs>
          <w:tab w:val="num" w:pos="1080"/>
        </w:tabs>
        <w:ind w:left="1080" w:hanging="720"/>
      </w:pPr>
      <w:rPr>
        <w:rFonts w:hint="default"/>
        <w:i w:val="0"/>
        <w:iCs w:val="0"/>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i w:val="0"/>
        <w:iCs w:val="0"/>
      </w:rPr>
    </w:lvl>
    <w:lvl w:ilvl="5">
      <w:start w:val="1"/>
      <w:numFmt w:val="decimal"/>
      <w:isLgl/>
      <w:lvlText w:val="%1.%2.%3.%4.%5.%6."/>
      <w:lvlJc w:val="left"/>
      <w:pPr>
        <w:tabs>
          <w:tab w:val="num" w:pos="1440"/>
        </w:tabs>
        <w:ind w:left="1440" w:hanging="1080"/>
      </w:pPr>
      <w:rPr>
        <w:rFonts w:hint="default"/>
        <w:i w:val="0"/>
        <w:iCs w:val="0"/>
      </w:rPr>
    </w:lvl>
    <w:lvl w:ilvl="6">
      <w:start w:val="1"/>
      <w:numFmt w:val="decimal"/>
      <w:isLgl/>
      <w:lvlText w:val="%1.%2.%3.%4.%5.%6.%7."/>
      <w:lvlJc w:val="left"/>
      <w:pPr>
        <w:tabs>
          <w:tab w:val="num" w:pos="1800"/>
        </w:tabs>
        <w:ind w:left="1800" w:hanging="1440"/>
      </w:pPr>
      <w:rPr>
        <w:rFonts w:hint="default"/>
        <w:i w:val="0"/>
        <w:iCs w:val="0"/>
      </w:rPr>
    </w:lvl>
    <w:lvl w:ilvl="7">
      <w:start w:val="1"/>
      <w:numFmt w:val="decimal"/>
      <w:isLgl/>
      <w:lvlText w:val="%1.%2.%3.%4.%5.%6.%7.%8."/>
      <w:lvlJc w:val="left"/>
      <w:pPr>
        <w:tabs>
          <w:tab w:val="num" w:pos="1800"/>
        </w:tabs>
        <w:ind w:left="1800" w:hanging="1440"/>
      </w:pPr>
      <w:rPr>
        <w:rFonts w:hint="default"/>
        <w:i w:val="0"/>
        <w:iCs w:val="0"/>
      </w:rPr>
    </w:lvl>
    <w:lvl w:ilvl="8">
      <w:start w:val="1"/>
      <w:numFmt w:val="decimal"/>
      <w:isLgl/>
      <w:lvlText w:val="%1.%2.%3.%4.%5.%6.%7.%8.%9."/>
      <w:lvlJc w:val="left"/>
      <w:pPr>
        <w:tabs>
          <w:tab w:val="num" w:pos="2160"/>
        </w:tabs>
        <w:ind w:left="2160" w:hanging="1800"/>
      </w:pPr>
      <w:rPr>
        <w:rFonts w:hint="default"/>
        <w:i w:val="0"/>
        <w:iCs w:val="0"/>
      </w:rPr>
    </w:lvl>
  </w:abstractNum>
  <w:abstractNum w:abstractNumId="42" w15:restartNumberingAfterBreak="0">
    <w:nsid w:val="7DE64471"/>
    <w:multiLevelType w:val="hybridMultilevel"/>
    <w:tmpl w:val="5F9AE9CE"/>
    <w:lvl w:ilvl="0" w:tplc="DC0A1AEA">
      <w:start w:val="200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E7E7357"/>
    <w:multiLevelType w:val="hybridMultilevel"/>
    <w:tmpl w:val="E7F2C5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num>
  <w:num w:numId="2">
    <w:abstractNumId w:val="33"/>
    <w:lvlOverride w:ilvl="0">
      <w:startOverride w:val="1"/>
    </w:lvlOverride>
  </w:num>
  <w:num w:numId="3">
    <w:abstractNumId w:val="34"/>
  </w:num>
  <w:num w:numId="4">
    <w:abstractNumId w:val="18"/>
  </w:num>
  <w:num w:numId="5">
    <w:abstractNumId w:val="42"/>
  </w:num>
  <w:num w:numId="6">
    <w:abstractNumId w:val="5"/>
  </w:num>
  <w:num w:numId="7">
    <w:abstractNumId w:val="17"/>
  </w:num>
  <w:num w:numId="8">
    <w:abstractNumId w:val="3"/>
  </w:num>
  <w:num w:numId="9">
    <w:abstractNumId w:val="31"/>
  </w:num>
  <w:num w:numId="10">
    <w:abstractNumId w:val="41"/>
  </w:num>
  <w:num w:numId="11">
    <w:abstractNumId w:val="28"/>
  </w:num>
  <w:num w:numId="12">
    <w:abstractNumId w:val="38"/>
  </w:num>
  <w:num w:numId="13">
    <w:abstractNumId w:val="0"/>
  </w:num>
  <w:num w:numId="14">
    <w:abstractNumId w:val="6"/>
  </w:num>
  <w:num w:numId="15">
    <w:abstractNumId w:val="26"/>
  </w:num>
  <w:num w:numId="16">
    <w:abstractNumId w:val="16"/>
  </w:num>
  <w:num w:numId="17">
    <w:abstractNumId w:val="27"/>
  </w:num>
  <w:num w:numId="18">
    <w:abstractNumId w:val="29"/>
  </w:num>
  <w:num w:numId="19">
    <w:abstractNumId w:val="14"/>
  </w:num>
  <w:num w:numId="20">
    <w:abstractNumId w:val="24"/>
  </w:num>
  <w:num w:numId="21">
    <w:abstractNumId w:val="37"/>
  </w:num>
  <w:num w:numId="22">
    <w:abstractNumId w:val="35"/>
  </w:num>
  <w:num w:numId="23">
    <w:abstractNumId w:val="21"/>
  </w:num>
  <w:num w:numId="24">
    <w:abstractNumId w:val="13"/>
  </w:num>
  <w:num w:numId="25">
    <w:abstractNumId w:val="11"/>
  </w:num>
  <w:num w:numId="26">
    <w:abstractNumId w:val="20"/>
  </w:num>
  <w:num w:numId="27">
    <w:abstractNumId w:val="8"/>
  </w:num>
  <w:num w:numId="28">
    <w:abstractNumId w:val="43"/>
  </w:num>
  <w:num w:numId="29">
    <w:abstractNumId w:val="10"/>
  </w:num>
  <w:num w:numId="30">
    <w:abstractNumId w:val="22"/>
  </w:num>
  <w:num w:numId="31">
    <w:abstractNumId w:val="25"/>
  </w:num>
  <w:num w:numId="32">
    <w:abstractNumId w:val="36"/>
  </w:num>
  <w:num w:numId="33">
    <w:abstractNumId w:val="19"/>
  </w:num>
  <w:num w:numId="34">
    <w:abstractNumId w:val="4"/>
  </w:num>
  <w:num w:numId="35">
    <w:abstractNumId w:val="2"/>
  </w:num>
  <w:num w:numId="36">
    <w:abstractNumId w:val="9"/>
  </w:num>
  <w:num w:numId="37">
    <w:abstractNumId w:val="39"/>
  </w:num>
  <w:num w:numId="38">
    <w:abstractNumId w:val="23"/>
  </w:num>
  <w:num w:numId="39">
    <w:abstractNumId w:val="30"/>
  </w:num>
  <w:num w:numId="40">
    <w:abstractNumId w:val="32"/>
  </w:num>
  <w:num w:numId="41">
    <w:abstractNumId w:val="7"/>
  </w:num>
  <w:num w:numId="42">
    <w:abstractNumId w:val="1"/>
  </w:num>
  <w:num w:numId="43">
    <w:abstractNumId w:val="15"/>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35F50"/>
    <w:rsid w:val="00000434"/>
    <w:rsid w:val="00002075"/>
    <w:rsid w:val="00002E56"/>
    <w:rsid w:val="00002E6C"/>
    <w:rsid w:val="00004644"/>
    <w:rsid w:val="000055C2"/>
    <w:rsid w:val="00006144"/>
    <w:rsid w:val="000068C9"/>
    <w:rsid w:val="00006C15"/>
    <w:rsid w:val="00011D91"/>
    <w:rsid w:val="000157D2"/>
    <w:rsid w:val="00016C54"/>
    <w:rsid w:val="00017282"/>
    <w:rsid w:val="000178D3"/>
    <w:rsid w:val="00021B22"/>
    <w:rsid w:val="000229D8"/>
    <w:rsid w:val="00023CBB"/>
    <w:rsid w:val="0002410F"/>
    <w:rsid w:val="000244AE"/>
    <w:rsid w:val="0002542D"/>
    <w:rsid w:val="00030899"/>
    <w:rsid w:val="0003109F"/>
    <w:rsid w:val="00033196"/>
    <w:rsid w:val="00035F50"/>
    <w:rsid w:val="00037C14"/>
    <w:rsid w:val="00042F9B"/>
    <w:rsid w:val="00045F35"/>
    <w:rsid w:val="0004691B"/>
    <w:rsid w:val="00047254"/>
    <w:rsid w:val="000513AC"/>
    <w:rsid w:val="00052CDF"/>
    <w:rsid w:val="00053ADA"/>
    <w:rsid w:val="000543E9"/>
    <w:rsid w:val="000553FB"/>
    <w:rsid w:val="000566DE"/>
    <w:rsid w:val="00056972"/>
    <w:rsid w:val="00060F8D"/>
    <w:rsid w:val="000634CE"/>
    <w:rsid w:val="00065795"/>
    <w:rsid w:val="000737D9"/>
    <w:rsid w:val="00073F55"/>
    <w:rsid w:val="00074F89"/>
    <w:rsid w:val="00076D93"/>
    <w:rsid w:val="00080F9F"/>
    <w:rsid w:val="00082938"/>
    <w:rsid w:val="00090432"/>
    <w:rsid w:val="000910FB"/>
    <w:rsid w:val="00091418"/>
    <w:rsid w:val="000928BB"/>
    <w:rsid w:val="00092A86"/>
    <w:rsid w:val="000954A3"/>
    <w:rsid w:val="0009631B"/>
    <w:rsid w:val="0009632B"/>
    <w:rsid w:val="000976CB"/>
    <w:rsid w:val="000A01C1"/>
    <w:rsid w:val="000A2EE9"/>
    <w:rsid w:val="000A3358"/>
    <w:rsid w:val="000A3C50"/>
    <w:rsid w:val="000A459C"/>
    <w:rsid w:val="000A566B"/>
    <w:rsid w:val="000B1552"/>
    <w:rsid w:val="000B17E9"/>
    <w:rsid w:val="000B4BDE"/>
    <w:rsid w:val="000B6F5A"/>
    <w:rsid w:val="000B7D99"/>
    <w:rsid w:val="000C48FD"/>
    <w:rsid w:val="000C513F"/>
    <w:rsid w:val="000D1D43"/>
    <w:rsid w:val="000E05EB"/>
    <w:rsid w:val="000E658D"/>
    <w:rsid w:val="000E6EB3"/>
    <w:rsid w:val="000E77CF"/>
    <w:rsid w:val="000E7D71"/>
    <w:rsid w:val="000F0F5A"/>
    <w:rsid w:val="000F1AFC"/>
    <w:rsid w:val="000F1BB8"/>
    <w:rsid w:val="000F3457"/>
    <w:rsid w:val="000F3606"/>
    <w:rsid w:val="000F3F06"/>
    <w:rsid w:val="000F3FD2"/>
    <w:rsid w:val="000F4F88"/>
    <w:rsid w:val="000F6A7A"/>
    <w:rsid w:val="000F72F1"/>
    <w:rsid w:val="000F7A8D"/>
    <w:rsid w:val="00100976"/>
    <w:rsid w:val="00100E47"/>
    <w:rsid w:val="00103179"/>
    <w:rsid w:val="001043CC"/>
    <w:rsid w:val="001052B7"/>
    <w:rsid w:val="0010766B"/>
    <w:rsid w:val="00110A53"/>
    <w:rsid w:val="00110AA5"/>
    <w:rsid w:val="00110EA3"/>
    <w:rsid w:val="0011473A"/>
    <w:rsid w:val="00114FBF"/>
    <w:rsid w:val="00117167"/>
    <w:rsid w:val="0012044C"/>
    <w:rsid w:val="001209F8"/>
    <w:rsid w:val="0012108F"/>
    <w:rsid w:val="00121AC5"/>
    <w:rsid w:val="00122E17"/>
    <w:rsid w:val="0012413F"/>
    <w:rsid w:val="00126824"/>
    <w:rsid w:val="00127268"/>
    <w:rsid w:val="001274DD"/>
    <w:rsid w:val="00127F0B"/>
    <w:rsid w:val="00127FFE"/>
    <w:rsid w:val="001304B5"/>
    <w:rsid w:val="00131C87"/>
    <w:rsid w:val="00133890"/>
    <w:rsid w:val="00133A4F"/>
    <w:rsid w:val="00133FDF"/>
    <w:rsid w:val="00135530"/>
    <w:rsid w:val="0013790F"/>
    <w:rsid w:val="001434F5"/>
    <w:rsid w:val="0014443F"/>
    <w:rsid w:val="00145FA0"/>
    <w:rsid w:val="001463F2"/>
    <w:rsid w:val="001472CD"/>
    <w:rsid w:val="001505E2"/>
    <w:rsid w:val="00150C34"/>
    <w:rsid w:val="00153E43"/>
    <w:rsid w:val="00155A6F"/>
    <w:rsid w:val="001622F4"/>
    <w:rsid w:val="00162591"/>
    <w:rsid w:val="00162D35"/>
    <w:rsid w:val="00162F9C"/>
    <w:rsid w:val="00163D57"/>
    <w:rsid w:val="00164ACD"/>
    <w:rsid w:val="00175941"/>
    <w:rsid w:val="001801C4"/>
    <w:rsid w:val="00180A9A"/>
    <w:rsid w:val="00181C96"/>
    <w:rsid w:val="001837C4"/>
    <w:rsid w:val="00184E1A"/>
    <w:rsid w:val="001857F9"/>
    <w:rsid w:val="00185F6A"/>
    <w:rsid w:val="00186545"/>
    <w:rsid w:val="001874E3"/>
    <w:rsid w:val="00187DAA"/>
    <w:rsid w:val="00190FB1"/>
    <w:rsid w:val="0019183E"/>
    <w:rsid w:val="00195A24"/>
    <w:rsid w:val="001A13D4"/>
    <w:rsid w:val="001A2281"/>
    <w:rsid w:val="001A266C"/>
    <w:rsid w:val="001A415B"/>
    <w:rsid w:val="001A4670"/>
    <w:rsid w:val="001A4E8E"/>
    <w:rsid w:val="001A6C3D"/>
    <w:rsid w:val="001B1E25"/>
    <w:rsid w:val="001B24EC"/>
    <w:rsid w:val="001B31ED"/>
    <w:rsid w:val="001B49F9"/>
    <w:rsid w:val="001B4A02"/>
    <w:rsid w:val="001B5593"/>
    <w:rsid w:val="001B5828"/>
    <w:rsid w:val="001B688B"/>
    <w:rsid w:val="001C0550"/>
    <w:rsid w:val="001C0AEA"/>
    <w:rsid w:val="001C0E1B"/>
    <w:rsid w:val="001C2806"/>
    <w:rsid w:val="001C3734"/>
    <w:rsid w:val="001C5914"/>
    <w:rsid w:val="001C662A"/>
    <w:rsid w:val="001C6DC0"/>
    <w:rsid w:val="001C7BE2"/>
    <w:rsid w:val="001C7F0E"/>
    <w:rsid w:val="001D0B50"/>
    <w:rsid w:val="001D3693"/>
    <w:rsid w:val="001D49DB"/>
    <w:rsid w:val="001D6349"/>
    <w:rsid w:val="001D67D8"/>
    <w:rsid w:val="001D788B"/>
    <w:rsid w:val="001E037B"/>
    <w:rsid w:val="001E0CA9"/>
    <w:rsid w:val="001E5D27"/>
    <w:rsid w:val="001E6CFC"/>
    <w:rsid w:val="001F143D"/>
    <w:rsid w:val="001F6029"/>
    <w:rsid w:val="001F6AC6"/>
    <w:rsid w:val="0020411C"/>
    <w:rsid w:val="00211E92"/>
    <w:rsid w:val="0021253C"/>
    <w:rsid w:val="002135ED"/>
    <w:rsid w:val="002217E7"/>
    <w:rsid w:val="00222D01"/>
    <w:rsid w:val="002255FF"/>
    <w:rsid w:val="00227592"/>
    <w:rsid w:val="00227C2F"/>
    <w:rsid w:val="00227E58"/>
    <w:rsid w:val="00232E7A"/>
    <w:rsid w:val="002341FC"/>
    <w:rsid w:val="00234D8D"/>
    <w:rsid w:val="00236749"/>
    <w:rsid w:val="00242ED8"/>
    <w:rsid w:val="00243F33"/>
    <w:rsid w:val="00244247"/>
    <w:rsid w:val="002462BD"/>
    <w:rsid w:val="00246487"/>
    <w:rsid w:val="0024648D"/>
    <w:rsid w:val="00246657"/>
    <w:rsid w:val="0024666B"/>
    <w:rsid w:val="00246A4E"/>
    <w:rsid w:val="0024756D"/>
    <w:rsid w:val="00254E9F"/>
    <w:rsid w:val="002579BC"/>
    <w:rsid w:val="00257EC1"/>
    <w:rsid w:val="002602D6"/>
    <w:rsid w:val="00265967"/>
    <w:rsid w:val="00265AF4"/>
    <w:rsid w:val="002667D8"/>
    <w:rsid w:val="0026743B"/>
    <w:rsid w:val="00270F3C"/>
    <w:rsid w:val="00274B56"/>
    <w:rsid w:val="002762C6"/>
    <w:rsid w:val="00277F45"/>
    <w:rsid w:val="00282F74"/>
    <w:rsid w:val="00285243"/>
    <w:rsid w:val="002857AF"/>
    <w:rsid w:val="002920C4"/>
    <w:rsid w:val="00292B22"/>
    <w:rsid w:val="00294300"/>
    <w:rsid w:val="00294C2D"/>
    <w:rsid w:val="00295B7C"/>
    <w:rsid w:val="002964B4"/>
    <w:rsid w:val="00297ADD"/>
    <w:rsid w:val="002A1751"/>
    <w:rsid w:val="002A2C2B"/>
    <w:rsid w:val="002A4375"/>
    <w:rsid w:val="002B30DA"/>
    <w:rsid w:val="002B460D"/>
    <w:rsid w:val="002B736D"/>
    <w:rsid w:val="002C2CCA"/>
    <w:rsid w:val="002C73DC"/>
    <w:rsid w:val="002C7478"/>
    <w:rsid w:val="002D3CE3"/>
    <w:rsid w:val="002D4E64"/>
    <w:rsid w:val="002D5113"/>
    <w:rsid w:val="002D7E16"/>
    <w:rsid w:val="002E0C1F"/>
    <w:rsid w:val="002E0C8D"/>
    <w:rsid w:val="002E1A60"/>
    <w:rsid w:val="002E74C3"/>
    <w:rsid w:val="002F1560"/>
    <w:rsid w:val="002F300A"/>
    <w:rsid w:val="002F36AE"/>
    <w:rsid w:val="002F4F32"/>
    <w:rsid w:val="002F69AC"/>
    <w:rsid w:val="002F6BB0"/>
    <w:rsid w:val="002F6DAB"/>
    <w:rsid w:val="00300225"/>
    <w:rsid w:val="00300EA9"/>
    <w:rsid w:val="00301CB3"/>
    <w:rsid w:val="003020E7"/>
    <w:rsid w:val="00303813"/>
    <w:rsid w:val="00304197"/>
    <w:rsid w:val="00305722"/>
    <w:rsid w:val="003065B0"/>
    <w:rsid w:val="00310EEE"/>
    <w:rsid w:val="00311D79"/>
    <w:rsid w:val="003161FF"/>
    <w:rsid w:val="003169FD"/>
    <w:rsid w:val="0032129B"/>
    <w:rsid w:val="00321457"/>
    <w:rsid w:val="00321669"/>
    <w:rsid w:val="00322053"/>
    <w:rsid w:val="003222EA"/>
    <w:rsid w:val="0032249A"/>
    <w:rsid w:val="00324692"/>
    <w:rsid w:val="00324761"/>
    <w:rsid w:val="0032761C"/>
    <w:rsid w:val="00330028"/>
    <w:rsid w:val="0033210E"/>
    <w:rsid w:val="0033318D"/>
    <w:rsid w:val="00335590"/>
    <w:rsid w:val="00337071"/>
    <w:rsid w:val="00337D0E"/>
    <w:rsid w:val="003446AC"/>
    <w:rsid w:val="00345A65"/>
    <w:rsid w:val="00346E7D"/>
    <w:rsid w:val="00347CD7"/>
    <w:rsid w:val="0035352C"/>
    <w:rsid w:val="003613FB"/>
    <w:rsid w:val="00361DB9"/>
    <w:rsid w:val="00362954"/>
    <w:rsid w:val="00362C4D"/>
    <w:rsid w:val="00365483"/>
    <w:rsid w:val="0037256C"/>
    <w:rsid w:val="00374FD5"/>
    <w:rsid w:val="00376552"/>
    <w:rsid w:val="0038041A"/>
    <w:rsid w:val="003841A3"/>
    <w:rsid w:val="0038581C"/>
    <w:rsid w:val="00385AD6"/>
    <w:rsid w:val="00386156"/>
    <w:rsid w:val="00390453"/>
    <w:rsid w:val="00390DD7"/>
    <w:rsid w:val="0039307C"/>
    <w:rsid w:val="00393BD1"/>
    <w:rsid w:val="00393E94"/>
    <w:rsid w:val="0039691C"/>
    <w:rsid w:val="0039693B"/>
    <w:rsid w:val="00397516"/>
    <w:rsid w:val="003A129E"/>
    <w:rsid w:val="003A50DE"/>
    <w:rsid w:val="003A64EC"/>
    <w:rsid w:val="003A764B"/>
    <w:rsid w:val="003B1165"/>
    <w:rsid w:val="003B2A55"/>
    <w:rsid w:val="003B4DD6"/>
    <w:rsid w:val="003B56CF"/>
    <w:rsid w:val="003B65FB"/>
    <w:rsid w:val="003B6749"/>
    <w:rsid w:val="003C01F6"/>
    <w:rsid w:val="003C06FB"/>
    <w:rsid w:val="003C08E1"/>
    <w:rsid w:val="003C1559"/>
    <w:rsid w:val="003C2881"/>
    <w:rsid w:val="003C30A1"/>
    <w:rsid w:val="003D02B2"/>
    <w:rsid w:val="003D044E"/>
    <w:rsid w:val="003D3D52"/>
    <w:rsid w:val="003D518A"/>
    <w:rsid w:val="003D683C"/>
    <w:rsid w:val="003E102A"/>
    <w:rsid w:val="003E2490"/>
    <w:rsid w:val="003E3C7D"/>
    <w:rsid w:val="003E4ECC"/>
    <w:rsid w:val="003E50F5"/>
    <w:rsid w:val="003E5934"/>
    <w:rsid w:val="003E6122"/>
    <w:rsid w:val="003E7659"/>
    <w:rsid w:val="003E7730"/>
    <w:rsid w:val="003E799D"/>
    <w:rsid w:val="003F0A7E"/>
    <w:rsid w:val="003F1E8A"/>
    <w:rsid w:val="003F36B3"/>
    <w:rsid w:val="003F6EB3"/>
    <w:rsid w:val="003F7871"/>
    <w:rsid w:val="00403541"/>
    <w:rsid w:val="0040362D"/>
    <w:rsid w:val="00403B36"/>
    <w:rsid w:val="00403C03"/>
    <w:rsid w:val="00406DFF"/>
    <w:rsid w:val="00407912"/>
    <w:rsid w:val="004122CE"/>
    <w:rsid w:val="004128D4"/>
    <w:rsid w:val="004130A8"/>
    <w:rsid w:val="00417094"/>
    <w:rsid w:val="00421B15"/>
    <w:rsid w:val="004220FC"/>
    <w:rsid w:val="0042336B"/>
    <w:rsid w:val="004236FF"/>
    <w:rsid w:val="004241C9"/>
    <w:rsid w:val="004259A2"/>
    <w:rsid w:val="0043060E"/>
    <w:rsid w:val="004350BD"/>
    <w:rsid w:val="00436C13"/>
    <w:rsid w:val="00437E81"/>
    <w:rsid w:val="00440EF0"/>
    <w:rsid w:val="0044136C"/>
    <w:rsid w:val="00442EBB"/>
    <w:rsid w:val="00445315"/>
    <w:rsid w:val="00446051"/>
    <w:rsid w:val="00447D1C"/>
    <w:rsid w:val="00447E91"/>
    <w:rsid w:val="00450897"/>
    <w:rsid w:val="00454202"/>
    <w:rsid w:val="004543F0"/>
    <w:rsid w:val="0045558E"/>
    <w:rsid w:val="00455ED6"/>
    <w:rsid w:val="004570C9"/>
    <w:rsid w:val="0045753B"/>
    <w:rsid w:val="00457EAE"/>
    <w:rsid w:val="00461DD2"/>
    <w:rsid w:val="00462E71"/>
    <w:rsid w:val="00463AE4"/>
    <w:rsid w:val="00463EE7"/>
    <w:rsid w:val="00463F54"/>
    <w:rsid w:val="0046476B"/>
    <w:rsid w:val="00466C3F"/>
    <w:rsid w:val="004678DF"/>
    <w:rsid w:val="00473276"/>
    <w:rsid w:val="00475FC5"/>
    <w:rsid w:val="00476EA0"/>
    <w:rsid w:val="00477099"/>
    <w:rsid w:val="004818F4"/>
    <w:rsid w:val="00482897"/>
    <w:rsid w:val="00485D9B"/>
    <w:rsid w:val="0048684A"/>
    <w:rsid w:val="00487409"/>
    <w:rsid w:val="00491C83"/>
    <w:rsid w:val="004965AD"/>
    <w:rsid w:val="00496D47"/>
    <w:rsid w:val="004A072C"/>
    <w:rsid w:val="004A1DB4"/>
    <w:rsid w:val="004A5E7A"/>
    <w:rsid w:val="004A6A34"/>
    <w:rsid w:val="004B0D79"/>
    <w:rsid w:val="004B2D0D"/>
    <w:rsid w:val="004B3C62"/>
    <w:rsid w:val="004B4AA9"/>
    <w:rsid w:val="004B6DA3"/>
    <w:rsid w:val="004C0D32"/>
    <w:rsid w:val="004C1495"/>
    <w:rsid w:val="004C2D35"/>
    <w:rsid w:val="004C5116"/>
    <w:rsid w:val="004C5415"/>
    <w:rsid w:val="004C5824"/>
    <w:rsid w:val="004C65B7"/>
    <w:rsid w:val="004C7E66"/>
    <w:rsid w:val="004D0894"/>
    <w:rsid w:val="004D23FF"/>
    <w:rsid w:val="004D2DFD"/>
    <w:rsid w:val="004D36F2"/>
    <w:rsid w:val="004D51E8"/>
    <w:rsid w:val="004D5D72"/>
    <w:rsid w:val="004E43F0"/>
    <w:rsid w:val="004E53C8"/>
    <w:rsid w:val="004E55FE"/>
    <w:rsid w:val="004F1CDC"/>
    <w:rsid w:val="004F2287"/>
    <w:rsid w:val="004F39E6"/>
    <w:rsid w:val="00501E7C"/>
    <w:rsid w:val="00502F5A"/>
    <w:rsid w:val="00504172"/>
    <w:rsid w:val="00504215"/>
    <w:rsid w:val="00506BDD"/>
    <w:rsid w:val="0050794D"/>
    <w:rsid w:val="00513764"/>
    <w:rsid w:val="00513B97"/>
    <w:rsid w:val="00516B9F"/>
    <w:rsid w:val="00517676"/>
    <w:rsid w:val="0052159E"/>
    <w:rsid w:val="00522DDB"/>
    <w:rsid w:val="00523C51"/>
    <w:rsid w:val="00525151"/>
    <w:rsid w:val="00530307"/>
    <w:rsid w:val="00531721"/>
    <w:rsid w:val="00531744"/>
    <w:rsid w:val="00531D3E"/>
    <w:rsid w:val="005324C9"/>
    <w:rsid w:val="00534511"/>
    <w:rsid w:val="00536834"/>
    <w:rsid w:val="005406DC"/>
    <w:rsid w:val="00541C44"/>
    <w:rsid w:val="00544D0B"/>
    <w:rsid w:val="00550A39"/>
    <w:rsid w:val="00551879"/>
    <w:rsid w:val="00553816"/>
    <w:rsid w:val="00555CDB"/>
    <w:rsid w:val="00556D35"/>
    <w:rsid w:val="00557A42"/>
    <w:rsid w:val="005614FF"/>
    <w:rsid w:val="0056374A"/>
    <w:rsid w:val="005639C0"/>
    <w:rsid w:val="00566B74"/>
    <w:rsid w:val="0056738E"/>
    <w:rsid w:val="00571746"/>
    <w:rsid w:val="00574E3A"/>
    <w:rsid w:val="00575EC9"/>
    <w:rsid w:val="005764F7"/>
    <w:rsid w:val="00583039"/>
    <w:rsid w:val="0058499D"/>
    <w:rsid w:val="00590C23"/>
    <w:rsid w:val="0059173D"/>
    <w:rsid w:val="00591DBA"/>
    <w:rsid w:val="00592E0A"/>
    <w:rsid w:val="005941DD"/>
    <w:rsid w:val="00594485"/>
    <w:rsid w:val="005A0768"/>
    <w:rsid w:val="005A2AB4"/>
    <w:rsid w:val="005A3312"/>
    <w:rsid w:val="005A4B18"/>
    <w:rsid w:val="005A6A91"/>
    <w:rsid w:val="005A7854"/>
    <w:rsid w:val="005B0AB9"/>
    <w:rsid w:val="005B1174"/>
    <w:rsid w:val="005B243B"/>
    <w:rsid w:val="005B3F35"/>
    <w:rsid w:val="005C024E"/>
    <w:rsid w:val="005C1D2F"/>
    <w:rsid w:val="005C37B3"/>
    <w:rsid w:val="005C6030"/>
    <w:rsid w:val="005C77A2"/>
    <w:rsid w:val="005C7E8E"/>
    <w:rsid w:val="005D089D"/>
    <w:rsid w:val="005D2F61"/>
    <w:rsid w:val="005D45A9"/>
    <w:rsid w:val="005D4A7F"/>
    <w:rsid w:val="005E0DC3"/>
    <w:rsid w:val="005E31E0"/>
    <w:rsid w:val="005E4C95"/>
    <w:rsid w:val="005E5C75"/>
    <w:rsid w:val="005E7450"/>
    <w:rsid w:val="005F0A90"/>
    <w:rsid w:val="005F4B98"/>
    <w:rsid w:val="005F7DBD"/>
    <w:rsid w:val="00600091"/>
    <w:rsid w:val="006007B9"/>
    <w:rsid w:val="006011A2"/>
    <w:rsid w:val="00602A42"/>
    <w:rsid w:val="00603039"/>
    <w:rsid w:val="00605099"/>
    <w:rsid w:val="006079E5"/>
    <w:rsid w:val="00610CAC"/>
    <w:rsid w:val="00610FF1"/>
    <w:rsid w:val="00611917"/>
    <w:rsid w:val="006124E4"/>
    <w:rsid w:val="00612ACB"/>
    <w:rsid w:val="0061493F"/>
    <w:rsid w:val="00614E5C"/>
    <w:rsid w:val="00614FB3"/>
    <w:rsid w:val="0061680B"/>
    <w:rsid w:val="006212DA"/>
    <w:rsid w:val="0062223A"/>
    <w:rsid w:val="006243B4"/>
    <w:rsid w:val="00625B96"/>
    <w:rsid w:val="006262AD"/>
    <w:rsid w:val="00630C6C"/>
    <w:rsid w:val="00631590"/>
    <w:rsid w:val="00631BE2"/>
    <w:rsid w:val="00633AED"/>
    <w:rsid w:val="00636345"/>
    <w:rsid w:val="00636BEF"/>
    <w:rsid w:val="00637E5B"/>
    <w:rsid w:val="00640496"/>
    <w:rsid w:val="00640861"/>
    <w:rsid w:val="006428CB"/>
    <w:rsid w:val="006431CF"/>
    <w:rsid w:val="00645181"/>
    <w:rsid w:val="006459D4"/>
    <w:rsid w:val="00645E0E"/>
    <w:rsid w:val="00647A2C"/>
    <w:rsid w:val="00650D54"/>
    <w:rsid w:val="00651525"/>
    <w:rsid w:val="00651B72"/>
    <w:rsid w:val="00652310"/>
    <w:rsid w:val="00653A74"/>
    <w:rsid w:val="006571BE"/>
    <w:rsid w:val="00662B8D"/>
    <w:rsid w:val="00662DAD"/>
    <w:rsid w:val="006638FD"/>
    <w:rsid w:val="006648B2"/>
    <w:rsid w:val="006650A3"/>
    <w:rsid w:val="00665357"/>
    <w:rsid w:val="0066772F"/>
    <w:rsid w:val="00670CA8"/>
    <w:rsid w:val="00675A80"/>
    <w:rsid w:val="00676E6B"/>
    <w:rsid w:val="006779F1"/>
    <w:rsid w:val="00677D8F"/>
    <w:rsid w:val="00681E95"/>
    <w:rsid w:val="006821B2"/>
    <w:rsid w:val="006825B3"/>
    <w:rsid w:val="006841BF"/>
    <w:rsid w:val="00685827"/>
    <w:rsid w:val="0069045E"/>
    <w:rsid w:val="00692107"/>
    <w:rsid w:val="0069600B"/>
    <w:rsid w:val="00696619"/>
    <w:rsid w:val="00696B55"/>
    <w:rsid w:val="0069710D"/>
    <w:rsid w:val="006A025A"/>
    <w:rsid w:val="006A0436"/>
    <w:rsid w:val="006A6F73"/>
    <w:rsid w:val="006B1065"/>
    <w:rsid w:val="006B1EBF"/>
    <w:rsid w:val="006B3584"/>
    <w:rsid w:val="006B4F1F"/>
    <w:rsid w:val="006B5310"/>
    <w:rsid w:val="006C139F"/>
    <w:rsid w:val="006C21DC"/>
    <w:rsid w:val="006C5C8F"/>
    <w:rsid w:val="006C6DF2"/>
    <w:rsid w:val="006C6FF7"/>
    <w:rsid w:val="006C740E"/>
    <w:rsid w:val="006D1548"/>
    <w:rsid w:val="006D1922"/>
    <w:rsid w:val="006D4303"/>
    <w:rsid w:val="006D4CA9"/>
    <w:rsid w:val="006D55E2"/>
    <w:rsid w:val="006D6C63"/>
    <w:rsid w:val="006D7AE3"/>
    <w:rsid w:val="006E3F42"/>
    <w:rsid w:val="006E7B73"/>
    <w:rsid w:val="006F2FBF"/>
    <w:rsid w:val="006F79A2"/>
    <w:rsid w:val="00700150"/>
    <w:rsid w:val="00701907"/>
    <w:rsid w:val="0070410E"/>
    <w:rsid w:val="00704B27"/>
    <w:rsid w:val="00705DBF"/>
    <w:rsid w:val="0071184D"/>
    <w:rsid w:val="007132EA"/>
    <w:rsid w:val="00715CEB"/>
    <w:rsid w:val="007172B2"/>
    <w:rsid w:val="00721745"/>
    <w:rsid w:val="007220FF"/>
    <w:rsid w:val="0072343D"/>
    <w:rsid w:val="00727C03"/>
    <w:rsid w:val="00727E63"/>
    <w:rsid w:val="007312C2"/>
    <w:rsid w:val="00732137"/>
    <w:rsid w:val="00735677"/>
    <w:rsid w:val="0073641E"/>
    <w:rsid w:val="007373B5"/>
    <w:rsid w:val="00737C0C"/>
    <w:rsid w:val="00741495"/>
    <w:rsid w:val="00741665"/>
    <w:rsid w:val="0074188D"/>
    <w:rsid w:val="007441B7"/>
    <w:rsid w:val="00746048"/>
    <w:rsid w:val="007529C7"/>
    <w:rsid w:val="00752D48"/>
    <w:rsid w:val="00753826"/>
    <w:rsid w:val="007548B6"/>
    <w:rsid w:val="007549CD"/>
    <w:rsid w:val="00757E62"/>
    <w:rsid w:val="00761118"/>
    <w:rsid w:val="00762DEA"/>
    <w:rsid w:val="00762E12"/>
    <w:rsid w:val="00765D0B"/>
    <w:rsid w:val="00770E59"/>
    <w:rsid w:val="00771717"/>
    <w:rsid w:val="0077378C"/>
    <w:rsid w:val="007737E7"/>
    <w:rsid w:val="007748F1"/>
    <w:rsid w:val="007749A5"/>
    <w:rsid w:val="0077672F"/>
    <w:rsid w:val="007777F1"/>
    <w:rsid w:val="00784CE0"/>
    <w:rsid w:val="00784F46"/>
    <w:rsid w:val="00786614"/>
    <w:rsid w:val="00786DA7"/>
    <w:rsid w:val="0079338D"/>
    <w:rsid w:val="0079388C"/>
    <w:rsid w:val="007954D0"/>
    <w:rsid w:val="00795D8B"/>
    <w:rsid w:val="007A6985"/>
    <w:rsid w:val="007B05F1"/>
    <w:rsid w:val="007B0D21"/>
    <w:rsid w:val="007B25D4"/>
    <w:rsid w:val="007B40D2"/>
    <w:rsid w:val="007B468A"/>
    <w:rsid w:val="007B5487"/>
    <w:rsid w:val="007C02B8"/>
    <w:rsid w:val="007C2520"/>
    <w:rsid w:val="007C5FF3"/>
    <w:rsid w:val="007C65D4"/>
    <w:rsid w:val="007D0EED"/>
    <w:rsid w:val="007D237F"/>
    <w:rsid w:val="007D4304"/>
    <w:rsid w:val="007D450E"/>
    <w:rsid w:val="007D4998"/>
    <w:rsid w:val="007D5421"/>
    <w:rsid w:val="007D5A5E"/>
    <w:rsid w:val="007D7530"/>
    <w:rsid w:val="007D75BA"/>
    <w:rsid w:val="007F0F65"/>
    <w:rsid w:val="007F336F"/>
    <w:rsid w:val="007F3504"/>
    <w:rsid w:val="007F41FE"/>
    <w:rsid w:val="007F4308"/>
    <w:rsid w:val="007F4550"/>
    <w:rsid w:val="007F67DD"/>
    <w:rsid w:val="007F7E7B"/>
    <w:rsid w:val="00800753"/>
    <w:rsid w:val="0080148A"/>
    <w:rsid w:val="00802E9F"/>
    <w:rsid w:val="00804B54"/>
    <w:rsid w:val="008052AA"/>
    <w:rsid w:val="008064C7"/>
    <w:rsid w:val="00807710"/>
    <w:rsid w:val="0080781C"/>
    <w:rsid w:val="00810086"/>
    <w:rsid w:val="00810572"/>
    <w:rsid w:val="00810D55"/>
    <w:rsid w:val="00813646"/>
    <w:rsid w:val="00814153"/>
    <w:rsid w:val="00816C2B"/>
    <w:rsid w:val="0082454B"/>
    <w:rsid w:val="0082479F"/>
    <w:rsid w:val="008342CC"/>
    <w:rsid w:val="008346F4"/>
    <w:rsid w:val="00835B1A"/>
    <w:rsid w:val="00840053"/>
    <w:rsid w:val="008414AF"/>
    <w:rsid w:val="00844253"/>
    <w:rsid w:val="00844C4B"/>
    <w:rsid w:val="0084682B"/>
    <w:rsid w:val="008509F3"/>
    <w:rsid w:val="00852856"/>
    <w:rsid w:val="00854BEF"/>
    <w:rsid w:val="008566FD"/>
    <w:rsid w:val="008610F9"/>
    <w:rsid w:val="00861885"/>
    <w:rsid w:val="00865398"/>
    <w:rsid w:val="00865E33"/>
    <w:rsid w:val="00871F77"/>
    <w:rsid w:val="00873D75"/>
    <w:rsid w:val="00874D02"/>
    <w:rsid w:val="0087571F"/>
    <w:rsid w:val="0087573B"/>
    <w:rsid w:val="00875A8C"/>
    <w:rsid w:val="008767E0"/>
    <w:rsid w:val="00877688"/>
    <w:rsid w:val="008836F1"/>
    <w:rsid w:val="0088422A"/>
    <w:rsid w:val="00884ACD"/>
    <w:rsid w:val="008913E8"/>
    <w:rsid w:val="00891B0F"/>
    <w:rsid w:val="00895B86"/>
    <w:rsid w:val="008A191B"/>
    <w:rsid w:val="008A31C0"/>
    <w:rsid w:val="008A49F7"/>
    <w:rsid w:val="008A5765"/>
    <w:rsid w:val="008B0CBA"/>
    <w:rsid w:val="008B17BC"/>
    <w:rsid w:val="008B265A"/>
    <w:rsid w:val="008B27C9"/>
    <w:rsid w:val="008B2C80"/>
    <w:rsid w:val="008B645E"/>
    <w:rsid w:val="008C38B3"/>
    <w:rsid w:val="008C5723"/>
    <w:rsid w:val="008D1AE8"/>
    <w:rsid w:val="008D4A65"/>
    <w:rsid w:val="008D70B4"/>
    <w:rsid w:val="008E0229"/>
    <w:rsid w:val="008E0DBF"/>
    <w:rsid w:val="008E13D3"/>
    <w:rsid w:val="008E30C1"/>
    <w:rsid w:val="008E3762"/>
    <w:rsid w:val="008E5BD7"/>
    <w:rsid w:val="008E7992"/>
    <w:rsid w:val="008F1744"/>
    <w:rsid w:val="008F267D"/>
    <w:rsid w:val="008F2C27"/>
    <w:rsid w:val="008F2D2C"/>
    <w:rsid w:val="008F40F8"/>
    <w:rsid w:val="008F4ED7"/>
    <w:rsid w:val="008F6708"/>
    <w:rsid w:val="009011FF"/>
    <w:rsid w:val="009014F4"/>
    <w:rsid w:val="00901A70"/>
    <w:rsid w:val="009032E6"/>
    <w:rsid w:val="00904F17"/>
    <w:rsid w:val="00906F12"/>
    <w:rsid w:val="009133D7"/>
    <w:rsid w:val="00914965"/>
    <w:rsid w:val="00915161"/>
    <w:rsid w:val="00916A63"/>
    <w:rsid w:val="00920BB4"/>
    <w:rsid w:val="009214AC"/>
    <w:rsid w:val="00921858"/>
    <w:rsid w:val="00922464"/>
    <w:rsid w:val="0092502F"/>
    <w:rsid w:val="00926F27"/>
    <w:rsid w:val="009272A6"/>
    <w:rsid w:val="00927AEF"/>
    <w:rsid w:val="00927B7D"/>
    <w:rsid w:val="009305A9"/>
    <w:rsid w:val="00930611"/>
    <w:rsid w:val="009332CC"/>
    <w:rsid w:val="00934694"/>
    <w:rsid w:val="00935AAF"/>
    <w:rsid w:val="00936360"/>
    <w:rsid w:val="00936421"/>
    <w:rsid w:val="00941528"/>
    <w:rsid w:val="00941D3A"/>
    <w:rsid w:val="00941E9C"/>
    <w:rsid w:val="00942643"/>
    <w:rsid w:val="00943CCD"/>
    <w:rsid w:val="00943E8E"/>
    <w:rsid w:val="00946344"/>
    <w:rsid w:val="009471D8"/>
    <w:rsid w:val="00947ECE"/>
    <w:rsid w:val="00950777"/>
    <w:rsid w:val="00955D68"/>
    <w:rsid w:val="0095655C"/>
    <w:rsid w:val="00956D7F"/>
    <w:rsid w:val="00966715"/>
    <w:rsid w:val="009667CD"/>
    <w:rsid w:val="009672FA"/>
    <w:rsid w:val="00975509"/>
    <w:rsid w:val="00977782"/>
    <w:rsid w:val="00983D73"/>
    <w:rsid w:val="00987791"/>
    <w:rsid w:val="009878DE"/>
    <w:rsid w:val="0099037F"/>
    <w:rsid w:val="0099090D"/>
    <w:rsid w:val="00991D98"/>
    <w:rsid w:val="009927D5"/>
    <w:rsid w:val="00992AED"/>
    <w:rsid w:val="00995CE2"/>
    <w:rsid w:val="00996354"/>
    <w:rsid w:val="00997C04"/>
    <w:rsid w:val="009A05F5"/>
    <w:rsid w:val="009A1607"/>
    <w:rsid w:val="009A486E"/>
    <w:rsid w:val="009A4B5D"/>
    <w:rsid w:val="009A506C"/>
    <w:rsid w:val="009A6AB8"/>
    <w:rsid w:val="009B021A"/>
    <w:rsid w:val="009B0AC4"/>
    <w:rsid w:val="009B2493"/>
    <w:rsid w:val="009B4DE5"/>
    <w:rsid w:val="009B5441"/>
    <w:rsid w:val="009B56B7"/>
    <w:rsid w:val="009B6825"/>
    <w:rsid w:val="009C13E6"/>
    <w:rsid w:val="009C56B1"/>
    <w:rsid w:val="009C613F"/>
    <w:rsid w:val="009C7811"/>
    <w:rsid w:val="009C7897"/>
    <w:rsid w:val="009D1803"/>
    <w:rsid w:val="009D1DDD"/>
    <w:rsid w:val="009D4960"/>
    <w:rsid w:val="009D4F21"/>
    <w:rsid w:val="009D6472"/>
    <w:rsid w:val="009D7254"/>
    <w:rsid w:val="009D7537"/>
    <w:rsid w:val="009E0164"/>
    <w:rsid w:val="009E4864"/>
    <w:rsid w:val="009E5920"/>
    <w:rsid w:val="009E68A0"/>
    <w:rsid w:val="009F030F"/>
    <w:rsid w:val="009F2C5E"/>
    <w:rsid w:val="009F45D8"/>
    <w:rsid w:val="009F5B06"/>
    <w:rsid w:val="00A015DE"/>
    <w:rsid w:val="00A017C4"/>
    <w:rsid w:val="00A043E8"/>
    <w:rsid w:val="00A10B08"/>
    <w:rsid w:val="00A110A5"/>
    <w:rsid w:val="00A11EC6"/>
    <w:rsid w:val="00A136B3"/>
    <w:rsid w:val="00A1546D"/>
    <w:rsid w:val="00A15AE6"/>
    <w:rsid w:val="00A174C8"/>
    <w:rsid w:val="00A20265"/>
    <w:rsid w:val="00A21E8B"/>
    <w:rsid w:val="00A22042"/>
    <w:rsid w:val="00A22AB3"/>
    <w:rsid w:val="00A24F41"/>
    <w:rsid w:val="00A276B6"/>
    <w:rsid w:val="00A27CBC"/>
    <w:rsid w:val="00A40BC5"/>
    <w:rsid w:val="00A40C8B"/>
    <w:rsid w:val="00A42F01"/>
    <w:rsid w:val="00A43719"/>
    <w:rsid w:val="00A43A18"/>
    <w:rsid w:val="00A44DEE"/>
    <w:rsid w:val="00A50993"/>
    <w:rsid w:val="00A52633"/>
    <w:rsid w:val="00A54503"/>
    <w:rsid w:val="00A55663"/>
    <w:rsid w:val="00A5624F"/>
    <w:rsid w:val="00A575ED"/>
    <w:rsid w:val="00A60579"/>
    <w:rsid w:val="00A60BFC"/>
    <w:rsid w:val="00A6155D"/>
    <w:rsid w:val="00A6165A"/>
    <w:rsid w:val="00A662B0"/>
    <w:rsid w:val="00A7048A"/>
    <w:rsid w:val="00A704EF"/>
    <w:rsid w:val="00A7249D"/>
    <w:rsid w:val="00A7396B"/>
    <w:rsid w:val="00A7521F"/>
    <w:rsid w:val="00A7765D"/>
    <w:rsid w:val="00A82254"/>
    <w:rsid w:val="00A82DC4"/>
    <w:rsid w:val="00A851BF"/>
    <w:rsid w:val="00A86DE8"/>
    <w:rsid w:val="00A87A4F"/>
    <w:rsid w:val="00A87EAC"/>
    <w:rsid w:val="00A9112C"/>
    <w:rsid w:val="00A914A3"/>
    <w:rsid w:val="00A92E53"/>
    <w:rsid w:val="00A93979"/>
    <w:rsid w:val="00A968E5"/>
    <w:rsid w:val="00AA132F"/>
    <w:rsid w:val="00AA1545"/>
    <w:rsid w:val="00AA468C"/>
    <w:rsid w:val="00AA78F6"/>
    <w:rsid w:val="00AB04B4"/>
    <w:rsid w:val="00AB4AA4"/>
    <w:rsid w:val="00AB4E3B"/>
    <w:rsid w:val="00AB53AC"/>
    <w:rsid w:val="00AC0170"/>
    <w:rsid w:val="00AC0AA6"/>
    <w:rsid w:val="00AC0B49"/>
    <w:rsid w:val="00AC2AF0"/>
    <w:rsid w:val="00AC3A48"/>
    <w:rsid w:val="00AC4A22"/>
    <w:rsid w:val="00AC5375"/>
    <w:rsid w:val="00AD1602"/>
    <w:rsid w:val="00AD1C47"/>
    <w:rsid w:val="00AD485C"/>
    <w:rsid w:val="00AD5527"/>
    <w:rsid w:val="00AD61CA"/>
    <w:rsid w:val="00AD7678"/>
    <w:rsid w:val="00AE2880"/>
    <w:rsid w:val="00AE2C3A"/>
    <w:rsid w:val="00AE5C25"/>
    <w:rsid w:val="00AE5D04"/>
    <w:rsid w:val="00AE5F04"/>
    <w:rsid w:val="00AE6147"/>
    <w:rsid w:val="00AE6969"/>
    <w:rsid w:val="00AE7502"/>
    <w:rsid w:val="00AE7CBE"/>
    <w:rsid w:val="00AF0857"/>
    <w:rsid w:val="00AF6632"/>
    <w:rsid w:val="00B0136B"/>
    <w:rsid w:val="00B02E4A"/>
    <w:rsid w:val="00B075A2"/>
    <w:rsid w:val="00B07A50"/>
    <w:rsid w:val="00B139BF"/>
    <w:rsid w:val="00B14108"/>
    <w:rsid w:val="00B157F0"/>
    <w:rsid w:val="00B15C8F"/>
    <w:rsid w:val="00B1638A"/>
    <w:rsid w:val="00B2124B"/>
    <w:rsid w:val="00B22C52"/>
    <w:rsid w:val="00B27E93"/>
    <w:rsid w:val="00B30219"/>
    <w:rsid w:val="00B31851"/>
    <w:rsid w:val="00B31A11"/>
    <w:rsid w:val="00B31C82"/>
    <w:rsid w:val="00B325B0"/>
    <w:rsid w:val="00B33E47"/>
    <w:rsid w:val="00B35930"/>
    <w:rsid w:val="00B367CB"/>
    <w:rsid w:val="00B3724E"/>
    <w:rsid w:val="00B4030A"/>
    <w:rsid w:val="00B44717"/>
    <w:rsid w:val="00B44E31"/>
    <w:rsid w:val="00B47E85"/>
    <w:rsid w:val="00B5380E"/>
    <w:rsid w:val="00B54776"/>
    <w:rsid w:val="00B5534E"/>
    <w:rsid w:val="00B55826"/>
    <w:rsid w:val="00B55EE6"/>
    <w:rsid w:val="00B56AD8"/>
    <w:rsid w:val="00B63425"/>
    <w:rsid w:val="00B6474A"/>
    <w:rsid w:val="00B65A97"/>
    <w:rsid w:val="00B660BB"/>
    <w:rsid w:val="00B665D2"/>
    <w:rsid w:val="00B674D3"/>
    <w:rsid w:val="00B7065B"/>
    <w:rsid w:val="00B70D15"/>
    <w:rsid w:val="00B7106B"/>
    <w:rsid w:val="00B75E8A"/>
    <w:rsid w:val="00B7747B"/>
    <w:rsid w:val="00B8435C"/>
    <w:rsid w:val="00B845E7"/>
    <w:rsid w:val="00B8572D"/>
    <w:rsid w:val="00B865AA"/>
    <w:rsid w:val="00B86CBE"/>
    <w:rsid w:val="00B930DF"/>
    <w:rsid w:val="00B9521F"/>
    <w:rsid w:val="00B967B7"/>
    <w:rsid w:val="00BA1D2F"/>
    <w:rsid w:val="00BA3FA6"/>
    <w:rsid w:val="00BA4A44"/>
    <w:rsid w:val="00BB1889"/>
    <w:rsid w:val="00BB2B9F"/>
    <w:rsid w:val="00BB2D40"/>
    <w:rsid w:val="00BB3878"/>
    <w:rsid w:val="00BB4503"/>
    <w:rsid w:val="00BB58A2"/>
    <w:rsid w:val="00BB7440"/>
    <w:rsid w:val="00BC1036"/>
    <w:rsid w:val="00BC3D0F"/>
    <w:rsid w:val="00BC4629"/>
    <w:rsid w:val="00BC7CC5"/>
    <w:rsid w:val="00BC7D85"/>
    <w:rsid w:val="00BC7E86"/>
    <w:rsid w:val="00BD1056"/>
    <w:rsid w:val="00BD1791"/>
    <w:rsid w:val="00BD3F37"/>
    <w:rsid w:val="00BD465C"/>
    <w:rsid w:val="00BD5188"/>
    <w:rsid w:val="00BD606B"/>
    <w:rsid w:val="00BD6203"/>
    <w:rsid w:val="00BD64D9"/>
    <w:rsid w:val="00BD7B2C"/>
    <w:rsid w:val="00BE0CE1"/>
    <w:rsid w:val="00BE0FB6"/>
    <w:rsid w:val="00BE1392"/>
    <w:rsid w:val="00BE33E3"/>
    <w:rsid w:val="00BE6485"/>
    <w:rsid w:val="00BE72E0"/>
    <w:rsid w:val="00BF0D41"/>
    <w:rsid w:val="00BF172E"/>
    <w:rsid w:val="00BF305D"/>
    <w:rsid w:val="00BF3D7F"/>
    <w:rsid w:val="00BF44CC"/>
    <w:rsid w:val="00C01FE9"/>
    <w:rsid w:val="00C0365B"/>
    <w:rsid w:val="00C07E58"/>
    <w:rsid w:val="00C1125E"/>
    <w:rsid w:val="00C13812"/>
    <w:rsid w:val="00C144F5"/>
    <w:rsid w:val="00C154F2"/>
    <w:rsid w:val="00C16C23"/>
    <w:rsid w:val="00C20290"/>
    <w:rsid w:val="00C207DB"/>
    <w:rsid w:val="00C219FB"/>
    <w:rsid w:val="00C21A7B"/>
    <w:rsid w:val="00C22B2D"/>
    <w:rsid w:val="00C2473F"/>
    <w:rsid w:val="00C27622"/>
    <w:rsid w:val="00C310EF"/>
    <w:rsid w:val="00C351EB"/>
    <w:rsid w:val="00C400A6"/>
    <w:rsid w:val="00C4502E"/>
    <w:rsid w:val="00C53308"/>
    <w:rsid w:val="00C53642"/>
    <w:rsid w:val="00C540D9"/>
    <w:rsid w:val="00C54889"/>
    <w:rsid w:val="00C5572F"/>
    <w:rsid w:val="00C557E5"/>
    <w:rsid w:val="00C56766"/>
    <w:rsid w:val="00C624B1"/>
    <w:rsid w:val="00C6389E"/>
    <w:rsid w:val="00C63AAC"/>
    <w:rsid w:val="00C63BBC"/>
    <w:rsid w:val="00C63E8B"/>
    <w:rsid w:val="00C64260"/>
    <w:rsid w:val="00C65BC6"/>
    <w:rsid w:val="00C70881"/>
    <w:rsid w:val="00C71D5C"/>
    <w:rsid w:val="00C72C17"/>
    <w:rsid w:val="00C77ADF"/>
    <w:rsid w:val="00C80AB5"/>
    <w:rsid w:val="00C821A3"/>
    <w:rsid w:val="00C83750"/>
    <w:rsid w:val="00C83B0A"/>
    <w:rsid w:val="00C84FF8"/>
    <w:rsid w:val="00C851C7"/>
    <w:rsid w:val="00C87446"/>
    <w:rsid w:val="00C90884"/>
    <w:rsid w:val="00C916E0"/>
    <w:rsid w:val="00C96C97"/>
    <w:rsid w:val="00CA0828"/>
    <w:rsid w:val="00CA1CD4"/>
    <w:rsid w:val="00CA29A6"/>
    <w:rsid w:val="00CA30A4"/>
    <w:rsid w:val="00CA637D"/>
    <w:rsid w:val="00CB0093"/>
    <w:rsid w:val="00CB081A"/>
    <w:rsid w:val="00CB0EB0"/>
    <w:rsid w:val="00CB3132"/>
    <w:rsid w:val="00CB3D9A"/>
    <w:rsid w:val="00CC3C14"/>
    <w:rsid w:val="00CC46D4"/>
    <w:rsid w:val="00CC5078"/>
    <w:rsid w:val="00CC690F"/>
    <w:rsid w:val="00CD166F"/>
    <w:rsid w:val="00CD7B17"/>
    <w:rsid w:val="00CE240B"/>
    <w:rsid w:val="00CE41A1"/>
    <w:rsid w:val="00CE4902"/>
    <w:rsid w:val="00CE4B65"/>
    <w:rsid w:val="00CE501F"/>
    <w:rsid w:val="00CE6B93"/>
    <w:rsid w:val="00CF2DC0"/>
    <w:rsid w:val="00CF3B74"/>
    <w:rsid w:val="00CF4109"/>
    <w:rsid w:val="00CF459A"/>
    <w:rsid w:val="00CF45A6"/>
    <w:rsid w:val="00CF5221"/>
    <w:rsid w:val="00CF5815"/>
    <w:rsid w:val="00D04FA9"/>
    <w:rsid w:val="00D06840"/>
    <w:rsid w:val="00D10CF2"/>
    <w:rsid w:val="00D11477"/>
    <w:rsid w:val="00D11EED"/>
    <w:rsid w:val="00D14F02"/>
    <w:rsid w:val="00D14F8E"/>
    <w:rsid w:val="00D16BC8"/>
    <w:rsid w:val="00D25363"/>
    <w:rsid w:val="00D261AD"/>
    <w:rsid w:val="00D273CD"/>
    <w:rsid w:val="00D2771F"/>
    <w:rsid w:val="00D3077F"/>
    <w:rsid w:val="00D337C0"/>
    <w:rsid w:val="00D353CC"/>
    <w:rsid w:val="00D35E1E"/>
    <w:rsid w:val="00D433C4"/>
    <w:rsid w:val="00D44DE9"/>
    <w:rsid w:val="00D44EC8"/>
    <w:rsid w:val="00D46A98"/>
    <w:rsid w:val="00D479D8"/>
    <w:rsid w:val="00D50BF7"/>
    <w:rsid w:val="00D50E5C"/>
    <w:rsid w:val="00D52836"/>
    <w:rsid w:val="00D54432"/>
    <w:rsid w:val="00D5646D"/>
    <w:rsid w:val="00D568E1"/>
    <w:rsid w:val="00D601BE"/>
    <w:rsid w:val="00D61920"/>
    <w:rsid w:val="00D63595"/>
    <w:rsid w:val="00D65B96"/>
    <w:rsid w:val="00D6648D"/>
    <w:rsid w:val="00D674C9"/>
    <w:rsid w:val="00D703A9"/>
    <w:rsid w:val="00D7073B"/>
    <w:rsid w:val="00D7131D"/>
    <w:rsid w:val="00D72329"/>
    <w:rsid w:val="00D72723"/>
    <w:rsid w:val="00D74201"/>
    <w:rsid w:val="00D74B9A"/>
    <w:rsid w:val="00D7528E"/>
    <w:rsid w:val="00D86515"/>
    <w:rsid w:val="00D871AB"/>
    <w:rsid w:val="00D87568"/>
    <w:rsid w:val="00D875A6"/>
    <w:rsid w:val="00D87E19"/>
    <w:rsid w:val="00D9186E"/>
    <w:rsid w:val="00D9313B"/>
    <w:rsid w:val="00D95F9D"/>
    <w:rsid w:val="00DA06EB"/>
    <w:rsid w:val="00DA5EAF"/>
    <w:rsid w:val="00DA7753"/>
    <w:rsid w:val="00DB06F8"/>
    <w:rsid w:val="00DB1269"/>
    <w:rsid w:val="00DB1675"/>
    <w:rsid w:val="00DB3DEC"/>
    <w:rsid w:val="00DB69E0"/>
    <w:rsid w:val="00DC194D"/>
    <w:rsid w:val="00DC1D94"/>
    <w:rsid w:val="00DC2D5E"/>
    <w:rsid w:val="00DC318B"/>
    <w:rsid w:val="00DC4AC2"/>
    <w:rsid w:val="00DC6BE8"/>
    <w:rsid w:val="00DC765A"/>
    <w:rsid w:val="00DD2B71"/>
    <w:rsid w:val="00DD4343"/>
    <w:rsid w:val="00DD457E"/>
    <w:rsid w:val="00DD5049"/>
    <w:rsid w:val="00DD66D0"/>
    <w:rsid w:val="00DD7387"/>
    <w:rsid w:val="00DE3F0B"/>
    <w:rsid w:val="00DE6723"/>
    <w:rsid w:val="00DE7416"/>
    <w:rsid w:val="00DF42FF"/>
    <w:rsid w:val="00DF46E4"/>
    <w:rsid w:val="00DF49E8"/>
    <w:rsid w:val="00DF5469"/>
    <w:rsid w:val="00DF6474"/>
    <w:rsid w:val="00DF7FC6"/>
    <w:rsid w:val="00E0087E"/>
    <w:rsid w:val="00E012C4"/>
    <w:rsid w:val="00E01FA6"/>
    <w:rsid w:val="00E02262"/>
    <w:rsid w:val="00E02863"/>
    <w:rsid w:val="00E0342C"/>
    <w:rsid w:val="00E039BC"/>
    <w:rsid w:val="00E05CF0"/>
    <w:rsid w:val="00E0655B"/>
    <w:rsid w:val="00E07A80"/>
    <w:rsid w:val="00E07DC2"/>
    <w:rsid w:val="00E12898"/>
    <w:rsid w:val="00E12B44"/>
    <w:rsid w:val="00E130EF"/>
    <w:rsid w:val="00E1541E"/>
    <w:rsid w:val="00E26F56"/>
    <w:rsid w:val="00E3156C"/>
    <w:rsid w:val="00E3186F"/>
    <w:rsid w:val="00E32164"/>
    <w:rsid w:val="00E328CA"/>
    <w:rsid w:val="00E34910"/>
    <w:rsid w:val="00E35665"/>
    <w:rsid w:val="00E36787"/>
    <w:rsid w:val="00E401C6"/>
    <w:rsid w:val="00E40A8B"/>
    <w:rsid w:val="00E42CD7"/>
    <w:rsid w:val="00E4474A"/>
    <w:rsid w:val="00E46A08"/>
    <w:rsid w:val="00E47DC5"/>
    <w:rsid w:val="00E525B7"/>
    <w:rsid w:val="00E52EA7"/>
    <w:rsid w:val="00E5462D"/>
    <w:rsid w:val="00E54E11"/>
    <w:rsid w:val="00E5534C"/>
    <w:rsid w:val="00E55F40"/>
    <w:rsid w:val="00E563CA"/>
    <w:rsid w:val="00E62139"/>
    <w:rsid w:val="00E633BD"/>
    <w:rsid w:val="00E66020"/>
    <w:rsid w:val="00E66472"/>
    <w:rsid w:val="00E704CE"/>
    <w:rsid w:val="00E758C4"/>
    <w:rsid w:val="00E76CCA"/>
    <w:rsid w:val="00E80D06"/>
    <w:rsid w:val="00E8194D"/>
    <w:rsid w:val="00E81966"/>
    <w:rsid w:val="00E83CE7"/>
    <w:rsid w:val="00E8471F"/>
    <w:rsid w:val="00E87F73"/>
    <w:rsid w:val="00E91A53"/>
    <w:rsid w:val="00E91B3E"/>
    <w:rsid w:val="00E93AA3"/>
    <w:rsid w:val="00E96207"/>
    <w:rsid w:val="00E9695E"/>
    <w:rsid w:val="00E970B6"/>
    <w:rsid w:val="00E97229"/>
    <w:rsid w:val="00EA016D"/>
    <w:rsid w:val="00EA1E16"/>
    <w:rsid w:val="00EA23ED"/>
    <w:rsid w:val="00EA3522"/>
    <w:rsid w:val="00EA5CF5"/>
    <w:rsid w:val="00EB30D2"/>
    <w:rsid w:val="00EB37C8"/>
    <w:rsid w:val="00EB44AB"/>
    <w:rsid w:val="00EB4F8E"/>
    <w:rsid w:val="00EB607A"/>
    <w:rsid w:val="00EB6572"/>
    <w:rsid w:val="00EB70E5"/>
    <w:rsid w:val="00EB78A2"/>
    <w:rsid w:val="00EC00CB"/>
    <w:rsid w:val="00EC1625"/>
    <w:rsid w:val="00EC2B95"/>
    <w:rsid w:val="00EC7695"/>
    <w:rsid w:val="00ED12D0"/>
    <w:rsid w:val="00ED18C5"/>
    <w:rsid w:val="00ED46EA"/>
    <w:rsid w:val="00ED5A42"/>
    <w:rsid w:val="00ED5DDD"/>
    <w:rsid w:val="00ED7D63"/>
    <w:rsid w:val="00EE39F7"/>
    <w:rsid w:val="00EE651A"/>
    <w:rsid w:val="00EF180F"/>
    <w:rsid w:val="00EF25C7"/>
    <w:rsid w:val="00EF25EB"/>
    <w:rsid w:val="00EF3156"/>
    <w:rsid w:val="00EF3402"/>
    <w:rsid w:val="00EF3C37"/>
    <w:rsid w:val="00EF69EF"/>
    <w:rsid w:val="00EF7F3A"/>
    <w:rsid w:val="00F00CF5"/>
    <w:rsid w:val="00F12001"/>
    <w:rsid w:val="00F12FEC"/>
    <w:rsid w:val="00F15437"/>
    <w:rsid w:val="00F1641A"/>
    <w:rsid w:val="00F220AC"/>
    <w:rsid w:val="00F230C6"/>
    <w:rsid w:val="00F24B17"/>
    <w:rsid w:val="00F24CE6"/>
    <w:rsid w:val="00F24DCB"/>
    <w:rsid w:val="00F253DD"/>
    <w:rsid w:val="00F25792"/>
    <w:rsid w:val="00F304C6"/>
    <w:rsid w:val="00F30891"/>
    <w:rsid w:val="00F32536"/>
    <w:rsid w:val="00F32C84"/>
    <w:rsid w:val="00F35891"/>
    <w:rsid w:val="00F37923"/>
    <w:rsid w:val="00F40DC0"/>
    <w:rsid w:val="00F4250A"/>
    <w:rsid w:val="00F42796"/>
    <w:rsid w:val="00F43622"/>
    <w:rsid w:val="00F438B4"/>
    <w:rsid w:val="00F43F7E"/>
    <w:rsid w:val="00F4491A"/>
    <w:rsid w:val="00F46F30"/>
    <w:rsid w:val="00F47333"/>
    <w:rsid w:val="00F47F6A"/>
    <w:rsid w:val="00F47FC2"/>
    <w:rsid w:val="00F50A3F"/>
    <w:rsid w:val="00F522C3"/>
    <w:rsid w:val="00F52A8C"/>
    <w:rsid w:val="00F54B28"/>
    <w:rsid w:val="00F5589D"/>
    <w:rsid w:val="00F622F5"/>
    <w:rsid w:val="00F62C82"/>
    <w:rsid w:val="00F6382F"/>
    <w:rsid w:val="00F658FC"/>
    <w:rsid w:val="00F679E9"/>
    <w:rsid w:val="00F7112D"/>
    <w:rsid w:val="00F71C6A"/>
    <w:rsid w:val="00F725C4"/>
    <w:rsid w:val="00F759D6"/>
    <w:rsid w:val="00F75F18"/>
    <w:rsid w:val="00F76127"/>
    <w:rsid w:val="00F77233"/>
    <w:rsid w:val="00F77E1A"/>
    <w:rsid w:val="00F808D6"/>
    <w:rsid w:val="00F8442C"/>
    <w:rsid w:val="00F86D2E"/>
    <w:rsid w:val="00F87148"/>
    <w:rsid w:val="00F8784B"/>
    <w:rsid w:val="00F915A5"/>
    <w:rsid w:val="00F934AC"/>
    <w:rsid w:val="00F93FFC"/>
    <w:rsid w:val="00F94FB7"/>
    <w:rsid w:val="00F9503E"/>
    <w:rsid w:val="00FA4C42"/>
    <w:rsid w:val="00FA6E8B"/>
    <w:rsid w:val="00FA6EBB"/>
    <w:rsid w:val="00FA7C18"/>
    <w:rsid w:val="00FB1E90"/>
    <w:rsid w:val="00FB2B4C"/>
    <w:rsid w:val="00FB2DB8"/>
    <w:rsid w:val="00FB564D"/>
    <w:rsid w:val="00FC0C80"/>
    <w:rsid w:val="00FC1C8D"/>
    <w:rsid w:val="00FC2349"/>
    <w:rsid w:val="00FC2A92"/>
    <w:rsid w:val="00FC3DCD"/>
    <w:rsid w:val="00FC5038"/>
    <w:rsid w:val="00FD51A7"/>
    <w:rsid w:val="00FD605F"/>
    <w:rsid w:val="00FD66CE"/>
    <w:rsid w:val="00FE1BF6"/>
    <w:rsid w:val="00FE2D87"/>
    <w:rsid w:val="00FE4C4E"/>
    <w:rsid w:val="00FF0E8A"/>
    <w:rsid w:val="00FF2FB2"/>
    <w:rsid w:val="00FF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B45720D0-9250-42BA-8F30-75FBCF4A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D465C"/>
    <w:rPr>
      <w:noProof/>
      <w:sz w:val="24"/>
      <w:szCs w:val="24"/>
      <w:lang w:eastAsia="en-US"/>
    </w:rPr>
  </w:style>
  <w:style w:type="paragraph" w:styleId="Antrat1">
    <w:name w:val="heading 1"/>
    <w:basedOn w:val="prastasis"/>
    <w:next w:val="prastasis"/>
    <w:link w:val="Antrat1Diagrama"/>
    <w:uiPriority w:val="9"/>
    <w:qFormat/>
    <w:rsid w:val="00BD465C"/>
    <w:pPr>
      <w:keepNext/>
      <w:tabs>
        <w:tab w:val="left" w:pos="1134"/>
      </w:tabs>
      <w:outlineLvl w:val="0"/>
    </w:pPr>
  </w:style>
  <w:style w:type="paragraph" w:styleId="Antrat2">
    <w:name w:val="heading 2"/>
    <w:basedOn w:val="prastasis"/>
    <w:next w:val="prastasis"/>
    <w:link w:val="Antrat2Diagrama"/>
    <w:uiPriority w:val="9"/>
    <w:unhideWhenUsed/>
    <w:qFormat/>
    <w:locked/>
    <w:rsid w:val="00EF3402"/>
    <w:pPr>
      <w:keepNext/>
      <w:spacing w:before="240" w:after="60" w:line="276" w:lineRule="auto"/>
      <w:outlineLvl w:val="1"/>
    </w:pPr>
    <w:rPr>
      <w:rFonts w:ascii="Cambria" w:hAnsi="Cambria"/>
      <w:b/>
      <w:bCs/>
      <w:i/>
      <w:iCs/>
      <w:noProof w:val="0"/>
      <w:sz w:val="28"/>
      <w:szCs w:val="28"/>
      <w:lang w:val="en-US"/>
    </w:rPr>
  </w:style>
  <w:style w:type="paragraph" w:styleId="Antrat3">
    <w:name w:val="heading 3"/>
    <w:basedOn w:val="prastasis"/>
    <w:next w:val="prastasis"/>
    <w:link w:val="Antrat3Diagrama"/>
    <w:uiPriority w:val="9"/>
    <w:qFormat/>
    <w:rsid w:val="00804B54"/>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uiPriority w:val="99"/>
    <w:qFormat/>
    <w:rsid w:val="00804B5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locked/>
    <w:rsid w:val="007F0F65"/>
    <w:rPr>
      <w:rFonts w:ascii="Cambria" w:hAnsi="Cambria" w:cs="Cambria"/>
      <w:b/>
      <w:bCs/>
      <w:noProof/>
      <w:kern w:val="32"/>
      <w:sz w:val="32"/>
      <w:szCs w:val="32"/>
      <w:lang w:eastAsia="en-US"/>
    </w:rPr>
  </w:style>
  <w:style w:type="character" w:customStyle="1" w:styleId="Antrat3Diagrama">
    <w:name w:val="Antraštė 3 Diagrama"/>
    <w:basedOn w:val="Numatytasispastraiposriftas"/>
    <w:link w:val="Antrat3"/>
    <w:uiPriority w:val="9"/>
    <w:locked/>
    <w:rsid w:val="007F0F65"/>
    <w:rPr>
      <w:rFonts w:ascii="Cambria" w:hAnsi="Cambria" w:cs="Cambria"/>
      <w:b/>
      <w:bCs/>
      <w:noProof/>
      <w:sz w:val="26"/>
      <w:szCs w:val="26"/>
      <w:lang w:eastAsia="en-US"/>
    </w:rPr>
  </w:style>
  <w:style w:type="character" w:customStyle="1" w:styleId="Antrat5Diagrama">
    <w:name w:val="Antraštė 5 Diagrama"/>
    <w:basedOn w:val="Numatytasispastraiposriftas"/>
    <w:link w:val="Antrat5"/>
    <w:uiPriority w:val="99"/>
    <w:semiHidden/>
    <w:locked/>
    <w:rsid w:val="007F0F65"/>
    <w:rPr>
      <w:rFonts w:ascii="Calibri" w:hAnsi="Calibri" w:cs="Calibri"/>
      <w:b/>
      <w:bCs/>
      <w:i/>
      <w:iCs/>
      <w:noProof/>
      <w:sz w:val="26"/>
      <w:szCs w:val="26"/>
      <w:lang w:eastAsia="en-US"/>
    </w:rPr>
  </w:style>
  <w:style w:type="paragraph" w:styleId="Pavadinimas">
    <w:name w:val="Title"/>
    <w:basedOn w:val="prastasis"/>
    <w:link w:val="PavadinimasDiagrama"/>
    <w:uiPriority w:val="10"/>
    <w:qFormat/>
    <w:rsid w:val="00BD465C"/>
    <w:pPr>
      <w:jc w:val="center"/>
    </w:pPr>
    <w:rPr>
      <w:b/>
      <w:bCs/>
    </w:rPr>
  </w:style>
  <w:style w:type="character" w:customStyle="1" w:styleId="PavadinimasDiagrama">
    <w:name w:val="Pavadinimas Diagrama"/>
    <w:basedOn w:val="Numatytasispastraiposriftas"/>
    <w:link w:val="Pavadinimas"/>
    <w:uiPriority w:val="10"/>
    <w:locked/>
    <w:rsid w:val="007F0F65"/>
    <w:rPr>
      <w:rFonts w:ascii="Cambria" w:hAnsi="Cambria" w:cs="Cambria"/>
      <w:b/>
      <w:bCs/>
      <w:noProof/>
      <w:kern w:val="28"/>
      <w:sz w:val="32"/>
      <w:szCs w:val="32"/>
      <w:lang w:eastAsia="en-US"/>
    </w:rPr>
  </w:style>
  <w:style w:type="paragraph" w:styleId="Pagrindinistekstas">
    <w:name w:val="Body Text"/>
    <w:basedOn w:val="prastasis"/>
    <w:link w:val="PagrindinistekstasDiagrama"/>
    <w:uiPriority w:val="99"/>
    <w:rsid w:val="00BD465C"/>
    <w:pPr>
      <w:tabs>
        <w:tab w:val="left" w:pos="0"/>
      </w:tabs>
      <w:jc w:val="both"/>
    </w:pPr>
  </w:style>
  <w:style w:type="character" w:customStyle="1" w:styleId="PagrindinistekstasDiagrama">
    <w:name w:val="Pagrindinis tekstas Diagrama"/>
    <w:basedOn w:val="Numatytasispastraiposriftas"/>
    <w:link w:val="Pagrindinistekstas"/>
    <w:uiPriority w:val="99"/>
    <w:semiHidden/>
    <w:locked/>
    <w:rsid w:val="007F0F65"/>
    <w:rPr>
      <w:noProof/>
      <w:sz w:val="24"/>
      <w:szCs w:val="24"/>
      <w:lang w:eastAsia="en-US"/>
    </w:rPr>
  </w:style>
  <w:style w:type="paragraph" w:styleId="Pagrindinistekstas2">
    <w:name w:val="Body Text 2"/>
    <w:basedOn w:val="prastasis"/>
    <w:link w:val="Pagrindinistekstas2Diagrama"/>
    <w:uiPriority w:val="99"/>
    <w:rsid w:val="00BD465C"/>
    <w:pPr>
      <w:tabs>
        <w:tab w:val="left" w:pos="2694"/>
      </w:tabs>
    </w:pPr>
  </w:style>
  <w:style w:type="character" w:customStyle="1" w:styleId="Pagrindinistekstas2Diagrama">
    <w:name w:val="Pagrindinis tekstas 2 Diagrama"/>
    <w:basedOn w:val="Numatytasispastraiposriftas"/>
    <w:link w:val="Pagrindinistekstas2"/>
    <w:uiPriority w:val="99"/>
    <w:semiHidden/>
    <w:locked/>
    <w:rsid w:val="007F0F65"/>
    <w:rPr>
      <w:noProof/>
      <w:sz w:val="24"/>
      <w:szCs w:val="24"/>
      <w:lang w:eastAsia="en-US"/>
    </w:rPr>
  </w:style>
  <w:style w:type="paragraph" w:styleId="Pagrindinistekstas3">
    <w:name w:val="Body Text 3"/>
    <w:basedOn w:val="prastasis"/>
    <w:link w:val="Pagrindinistekstas3Diagrama"/>
    <w:uiPriority w:val="99"/>
    <w:rsid w:val="00BD465C"/>
    <w:pPr>
      <w:tabs>
        <w:tab w:val="left" w:pos="2694"/>
      </w:tabs>
      <w:jc w:val="center"/>
    </w:pPr>
    <w:rPr>
      <w:b/>
      <w:bCs/>
      <w:caps/>
    </w:rPr>
  </w:style>
  <w:style w:type="character" w:customStyle="1" w:styleId="Pagrindinistekstas3Diagrama">
    <w:name w:val="Pagrindinis tekstas 3 Diagrama"/>
    <w:basedOn w:val="Numatytasispastraiposriftas"/>
    <w:link w:val="Pagrindinistekstas3"/>
    <w:uiPriority w:val="99"/>
    <w:semiHidden/>
    <w:locked/>
    <w:rsid w:val="007F0F65"/>
    <w:rPr>
      <w:noProof/>
      <w:sz w:val="16"/>
      <w:szCs w:val="16"/>
      <w:lang w:eastAsia="en-US"/>
    </w:rPr>
  </w:style>
  <w:style w:type="paragraph" w:styleId="Paantrat">
    <w:name w:val="Subtitle"/>
    <w:basedOn w:val="prastasis"/>
    <w:link w:val="PaantratDiagrama"/>
    <w:uiPriority w:val="99"/>
    <w:qFormat/>
    <w:rsid w:val="00BD465C"/>
    <w:pPr>
      <w:tabs>
        <w:tab w:val="left" w:pos="2694"/>
      </w:tabs>
      <w:jc w:val="center"/>
    </w:pPr>
    <w:rPr>
      <w:b/>
      <w:bCs/>
      <w:caps/>
    </w:rPr>
  </w:style>
  <w:style w:type="character" w:customStyle="1" w:styleId="PaantratDiagrama">
    <w:name w:val="Paantraštė Diagrama"/>
    <w:basedOn w:val="Numatytasispastraiposriftas"/>
    <w:link w:val="Paantrat"/>
    <w:uiPriority w:val="99"/>
    <w:locked/>
    <w:rsid w:val="007F0F65"/>
    <w:rPr>
      <w:rFonts w:ascii="Cambria" w:hAnsi="Cambria" w:cs="Cambria"/>
      <w:noProof/>
      <w:sz w:val="24"/>
      <w:szCs w:val="24"/>
      <w:lang w:eastAsia="en-US"/>
    </w:rPr>
  </w:style>
  <w:style w:type="paragraph" w:styleId="Debesliotekstas">
    <w:name w:val="Balloon Text"/>
    <w:basedOn w:val="prastasis"/>
    <w:link w:val="DebesliotekstasDiagrama"/>
    <w:uiPriority w:val="99"/>
    <w:semiHidden/>
    <w:rsid w:val="002B30D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7F0F65"/>
    <w:rPr>
      <w:noProof/>
      <w:sz w:val="2"/>
      <w:szCs w:val="2"/>
      <w:lang w:eastAsia="en-US"/>
    </w:rPr>
  </w:style>
  <w:style w:type="paragraph" w:styleId="HTMLiankstoformatuotas">
    <w:name w:val="HTML Preformatted"/>
    <w:basedOn w:val="prastasis"/>
    <w:link w:val="HTMLiankstoformatuotasDiagrama"/>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semiHidden/>
    <w:locked/>
    <w:rsid w:val="007F0F65"/>
    <w:rPr>
      <w:rFonts w:ascii="Courier New" w:hAnsi="Courier New" w:cs="Courier New"/>
      <w:noProof/>
      <w:sz w:val="20"/>
      <w:szCs w:val="20"/>
      <w:lang w:eastAsia="en-US"/>
    </w:rPr>
  </w:style>
  <w:style w:type="paragraph" w:customStyle="1" w:styleId="style2">
    <w:name w:val="style2"/>
    <w:basedOn w:val="prastasis"/>
    <w:uiPriority w:val="99"/>
    <w:rsid w:val="00374FD5"/>
    <w:pPr>
      <w:spacing w:before="100" w:beforeAutospacing="1" w:after="100" w:afterAutospacing="1"/>
    </w:pPr>
    <w:rPr>
      <w:lang w:eastAsia="lt-LT"/>
    </w:rPr>
  </w:style>
  <w:style w:type="paragraph" w:styleId="Pagrindiniotekstotrauka">
    <w:name w:val="Body Text Indent"/>
    <w:basedOn w:val="prastasis"/>
    <w:link w:val="PagrindiniotekstotraukaDiagrama"/>
    <w:uiPriority w:val="99"/>
    <w:rsid w:val="00814153"/>
    <w:pPr>
      <w:spacing w:after="120"/>
      <w:ind w:left="283"/>
    </w:pPr>
    <w:rPr>
      <w:noProof w:val="0"/>
    </w:rPr>
  </w:style>
  <w:style w:type="character" w:customStyle="1" w:styleId="PagrindiniotekstotraukaDiagrama">
    <w:name w:val="Pagrindinio teksto įtrauka Diagrama"/>
    <w:basedOn w:val="Numatytasispastraiposriftas"/>
    <w:link w:val="Pagrindiniotekstotrauka"/>
    <w:uiPriority w:val="99"/>
    <w:semiHidden/>
    <w:locked/>
    <w:rsid w:val="007F0F65"/>
    <w:rPr>
      <w:noProof/>
      <w:sz w:val="24"/>
      <w:szCs w:val="24"/>
      <w:lang w:eastAsia="en-US"/>
    </w:rPr>
  </w:style>
  <w:style w:type="paragraph" w:styleId="Porat">
    <w:name w:val="footer"/>
    <w:basedOn w:val="prastasis"/>
    <w:link w:val="PoratDiagrama"/>
    <w:uiPriority w:val="99"/>
    <w:rsid w:val="001B24EC"/>
    <w:pPr>
      <w:tabs>
        <w:tab w:val="center" w:pos="4819"/>
        <w:tab w:val="right" w:pos="9638"/>
      </w:tabs>
    </w:pPr>
    <w:rPr>
      <w:noProof w:val="0"/>
      <w:lang w:val="ru-RU" w:eastAsia="ru-RU"/>
    </w:rPr>
  </w:style>
  <w:style w:type="character" w:customStyle="1" w:styleId="PoratDiagrama">
    <w:name w:val="Poraštė Diagrama"/>
    <w:basedOn w:val="Numatytasispastraiposriftas"/>
    <w:link w:val="Porat"/>
    <w:uiPriority w:val="99"/>
    <w:locked/>
    <w:rsid w:val="007F0F65"/>
    <w:rPr>
      <w:noProof/>
      <w:sz w:val="24"/>
      <w:szCs w:val="24"/>
      <w:lang w:eastAsia="en-US"/>
    </w:rPr>
  </w:style>
  <w:style w:type="character" w:styleId="Puslapionumeris">
    <w:name w:val="page number"/>
    <w:basedOn w:val="Numatytasispastraiposriftas"/>
    <w:uiPriority w:val="99"/>
    <w:rsid w:val="001B24EC"/>
  </w:style>
  <w:style w:type="paragraph" w:styleId="Antrats">
    <w:name w:val="header"/>
    <w:basedOn w:val="prastasis"/>
    <w:link w:val="AntratsDiagrama"/>
    <w:uiPriority w:val="99"/>
    <w:rsid w:val="004D0894"/>
    <w:pPr>
      <w:tabs>
        <w:tab w:val="center" w:pos="4819"/>
        <w:tab w:val="right" w:pos="9638"/>
      </w:tabs>
    </w:pPr>
  </w:style>
  <w:style w:type="character" w:customStyle="1" w:styleId="AntratsDiagrama">
    <w:name w:val="Antraštės Diagrama"/>
    <w:basedOn w:val="Numatytasispastraiposriftas"/>
    <w:link w:val="Antrats"/>
    <w:uiPriority w:val="99"/>
    <w:locked/>
    <w:rsid w:val="0024756D"/>
    <w:rPr>
      <w:noProof/>
      <w:sz w:val="24"/>
      <w:szCs w:val="24"/>
      <w:lang w:eastAsia="en-US"/>
    </w:rPr>
  </w:style>
  <w:style w:type="character" w:styleId="Hipersaitas">
    <w:name w:val="Hyperlink"/>
    <w:basedOn w:val="Numatytasispastraiposriftas"/>
    <w:uiPriority w:val="99"/>
    <w:rsid w:val="00CB3D9A"/>
    <w:rPr>
      <w:color w:val="000000"/>
      <w:u w:val="single"/>
    </w:rPr>
  </w:style>
  <w:style w:type="table" w:styleId="Lentelstinklelis">
    <w:name w:val="Table Grid"/>
    <w:basedOn w:val="prastojilentel"/>
    <w:uiPriority w:val="99"/>
    <w:rsid w:val="003246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uiPriority w:val="99"/>
    <w:rsid w:val="00C851C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7F0F65"/>
    <w:rPr>
      <w:noProof/>
      <w:sz w:val="24"/>
      <w:szCs w:val="24"/>
      <w:lang w:eastAsia="en-US"/>
    </w:rPr>
  </w:style>
  <w:style w:type="character" w:customStyle="1" w:styleId="Antrat2Diagrama">
    <w:name w:val="Antraštė 2 Diagrama"/>
    <w:basedOn w:val="Numatytasispastraiposriftas"/>
    <w:link w:val="Antrat2"/>
    <w:uiPriority w:val="9"/>
    <w:rsid w:val="00EF3402"/>
    <w:rPr>
      <w:rFonts w:ascii="Cambria" w:hAnsi="Cambria"/>
      <w:b/>
      <w:bCs/>
      <w:i/>
      <w:iCs/>
      <w:sz w:val="28"/>
      <w:szCs w:val="28"/>
      <w:lang w:val="en-US" w:eastAsia="en-US"/>
    </w:rPr>
  </w:style>
  <w:style w:type="character" w:styleId="Grietas">
    <w:name w:val="Strong"/>
    <w:uiPriority w:val="22"/>
    <w:qFormat/>
    <w:locked/>
    <w:rsid w:val="00EF3402"/>
    <w:rPr>
      <w:b/>
      <w:bCs/>
    </w:rPr>
  </w:style>
  <w:style w:type="paragraph" w:styleId="Sraopastraipa">
    <w:name w:val="List Paragraph"/>
    <w:basedOn w:val="prastasis"/>
    <w:uiPriority w:val="34"/>
    <w:qFormat/>
    <w:rsid w:val="00EF3402"/>
    <w:pPr>
      <w:spacing w:after="200" w:line="276" w:lineRule="auto"/>
      <w:ind w:left="720"/>
      <w:contextualSpacing/>
    </w:pPr>
    <w:rPr>
      <w:rFonts w:ascii="Calibri" w:eastAsia="Calibri" w:hAnsi="Calibri"/>
      <w:noProof w:val="0"/>
      <w:sz w:val="22"/>
      <w:szCs w:val="22"/>
      <w:lang w:val="en-US"/>
    </w:rPr>
  </w:style>
  <w:style w:type="paragraph" w:customStyle="1" w:styleId="Standard">
    <w:name w:val="Standard"/>
    <w:rsid w:val="00EF3402"/>
    <w:pPr>
      <w:suppressAutoHyphens/>
      <w:textAlignment w:val="baseline"/>
    </w:pPr>
    <w:rPr>
      <w:rFonts w:ascii="Liberation Serif" w:eastAsia="SimSun" w:hAnsi="Liberation Serif" w:cs="Arial"/>
      <w:kern w:val="1"/>
      <w:sz w:val="24"/>
      <w:szCs w:val="24"/>
      <w:lang w:eastAsia="zh-CN" w:bidi="hi-IN"/>
    </w:rPr>
  </w:style>
  <w:style w:type="paragraph" w:customStyle="1" w:styleId="EmptyCellLayoutStyle">
    <w:name w:val="EmptyCellLayoutStyle"/>
    <w:rsid w:val="00EF3402"/>
    <w:pPr>
      <w:spacing w:after="200" w:line="276" w:lineRule="auto"/>
    </w:pPr>
    <w:rPr>
      <w:sz w:val="2"/>
      <w:szCs w:val="20"/>
    </w:rPr>
  </w:style>
  <w:style w:type="paragraph" w:customStyle="1" w:styleId="Standarduseruser">
    <w:name w:val="Standard (user) (user)"/>
    <w:rsid w:val="00EF3402"/>
    <w:pPr>
      <w:suppressAutoHyphens/>
      <w:autoSpaceDN w:val="0"/>
      <w:textAlignment w:val="baseline"/>
    </w:pPr>
    <w:rPr>
      <w:rFonts w:ascii="Liberation Serif" w:eastAsia="SimSun, 宋体" w:hAnsi="Liberation Serif" w:cs="Arial"/>
      <w:kern w:val="3"/>
      <w:sz w:val="24"/>
      <w:szCs w:val="24"/>
      <w:lang w:eastAsia="zh-CN" w:bidi="hi-IN"/>
    </w:rPr>
  </w:style>
  <w:style w:type="paragraph" w:styleId="Turinioantrat">
    <w:name w:val="TOC Heading"/>
    <w:basedOn w:val="Antrat1"/>
    <w:next w:val="prastasis"/>
    <w:uiPriority w:val="39"/>
    <w:unhideWhenUsed/>
    <w:qFormat/>
    <w:rsid w:val="00EF3402"/>
    <w:pPr>
      <w:keepLines/>
      <w:tabs>
        <w:tab w:val="clear" w:pos="1134"/>
      </w:tabs>
      <w:spacing w:before="480" w:line="276" w:lineRule="auto"/>
      <w:outlineLvl w:val="9"/>
    </w:pPr>
    <w:rPr>
      <w:rFonts w:ascii="Cambria" w:hAnsi="Cambria"/>
      <w:b/>
      <w:bCs/>
      <w:noProof w:val="0"/>
      <w:color w:val="365F91"/>
      <w:sz w:val="28"/>
      <w:szCs w:val="28"/>
      <w:lang w:eastAsia="lt-LT"/>
    </w:rPr>
  </w:style>
  <w:style w:type="paragraph" w:styleId="Turinys2">
    <w:name w:val="toc 2"/>
    <w:basedOn w:val="prastasis"/>
    <w:next w:val="prastasis"/>
    <w:autoRedefine/>
    <w:uiPriority w:val="39"/>
    <w:semiHidden/>
    <w:unhideWhenUsed/>
    <w:qFormat/>
    <w:locked/>
    <w:rsid w:val="00EF3402"/>
    <w:pPr>
      <w:spacing w:after="100" w:line="276" w:lineRule="auto"/>
      <w:ind w:left="220"/>
    </w:pPr>
    <w:rPr>
      <w:rFonts w:ascii="Calibri" w:hAnsi="Calibri"/>
      <w:noProof w:val="0"/>
      <w:sz w:val="22"/>
      <w:szCs w:val="22"/>
      <w:lang w:eastAsia="lt-LT"/>
    </w:rPr>
  </w:style>
  <w:style w:type="paragraph" w:styleId="Turinys1">
    <w:name w:val="toc 1"/>
    <w:basedOn w:val="prastasis"/>
    <w:next w:val="prastasis"/>
    <w:autoRedefine/>
    <w:uiPriority w:val="39"/>
    <w:unhideWhenUsed/>
    <w:qFormat/>
    <w:locked/>
    <w:rsid w:val="00EF3402"/>
    <w:pPr>
      <w:spacing w:after="100" w:line="276" w:lineRule="auto"/>
    </w:pPr>
    <w:rPr>
      <w:rFonts w:ascii="Calibri" w:hAnsi="Calibri"/>
      <w:noProof w:val="0"/>
      <w:sz w:val="22"/>
      <w:szCs w:val="22"/>
      <w:lang w:eastAsia="lt-LT"/>
    </w:rPr>
  </w:style>
  <w:style w:type="paragraph" w:styleId="Turinys3">
    <w:name w:val="toc 3"/>
    <w:basedOn w:val="prastasis"/>
    <w:next w:val="prastasis"/>
    <w:autoRedefine/>
    <w:uiPriority w:val="39"/>
    <w:unhideWhenUsed/>
    <w:qFormat/>
    <w:locked/>
    <w:rsid w:val="00EF3402"/>
    <w:pPr>
      <w:spacing w:after="100" w:line="276" w:lineRule="auto"/>
      <w:ind w:left="440"/>
    </w:pPr>
    <w:rPr>
      <w:rFonts w:ascii="Calibri" w:hAnsi="Calibri"/>
      <w:noProof w:val="0"/>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png"/><Relationship Id="rId76" Type="http://schemas.openxmlformats.org/officeDocument/2006/relationships/image" Target="media/image66.png"/><Relationship Id="rId84"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image" Target="media/image63.pn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5.png"/><Relationship Id="rId79" Type="http://schemas.openxmlformats.org/officeDocument/2006/relationships/chart" Target="charts/chart3.xml"/><Relationship Id="rId5" Type="http://schemas.openxmlformats.org/officeDocument/2006/relationships/footnotes" Target="footnotes.xml"/><Relationship Id="rId61" Type="http://schemas.openxmlformats.org/officeDocument/2006/relationships/image" Target="media/image53.png"/><Relationship Id="rId82" Type="http://schemas.openxmlformats.org/officeDocument/2006/relationships/image" Target="media/image6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https://sveikstat.hi.lt/assets/charts/no_change.png" TargetMode="External"/><Relationship Id="rId78" Type="http://schemas.openxmlformats.org/officeDocument/2006/relationships/chart" Target="charts/chart2.xml"/><Relationship Id="rId81"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https://sveikstat.hi.lt/assets/charts/down.png" TargetMode="External"/><Relationship Id="rId8" Type="http://schemas.openxmlformats.org/officeDocument/2006/relationships/image" Target="https://svsb.lt/app/default/files-module/local/mokykla/srsvsb-logo.jpg" TargetMode="External"/><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67.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https://sveikstat.hi.lt/assets/charts/up.png"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Justyna.voj\Downloads\2f7e9775-5e22-42ab-bf73-7c72ddf2504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Justyna.voj\AppData\Local\Temp\f4d20dbd-69e4-4643-8660-d653d041f0f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HP\Downloads\1f947a83-6e67-4ac6-8ff1-ab0c62de085a.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'[2f7e9775-5e22-42ab-bf73-7c72ddf2504e.xlsx]Sheet1'!$D$12</c:f>
              <c:strCache>
                <c:ptCount val="1"/>
                <c:pt idx="0">
                  <c:v>Abs. Sk.</c:v>
                </c:pt>
              </c:strCache>
            </c:strRef>
          </c:tx>
          <c:marker>
            <c:symbol val="none"/>
          </c:marker>
          <c:cat>
            <c:numRef>
              <c:f>'[2f7e9775-5e22-42ab-bf73-7c72ddf2504e.xlsx]Sheet1'!$C$13:$C$22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'[2f7e9775-5e22-42ab-bf73-7c72ddf2504e.xlsx]Sheet1'!$D$13:$D$22</c:f>
              <c:numCache>
                <c:formatCode>General</c:formatCode>
                <c:ptCount val="10"/>
                <c:pt idx="0">
                  <c:v>35014</c:v>
                </c:pt>
                <c:pt idx="1">
                  <c:v>34423</c:v>
                </c:pt>
                <c:pt idx="2">
                  <c:v>33943</c:v>
                </c:pt>
                <c:pt idx="3">
                  <c:v>33441</c:v>
                </c:pt>
                <c:pt idx="4">
                  <c:v>32939</c:v>
                </c:pt>
                <c:pt idx="5">
                  <c:v>32505</c:v>
                </c:pt>
                <c:pt idx="6">
                  <c:v>32047</c:v>
                </c:pt>
                <c:pt idx="7">
                  <c:v>31527</c:v>
                </c:pt>
                <c:pt idx="8">
                  <c:v>31148</c:v>
                </c:pt>
                <c:pt idx="9">
                  <c:v>30776</c:v>
                </c:pt>
              </c:numCache>
            </c:numRef>
          </c:val>
          <c:smooth val="0"/>
          <c:extLst xmlns:c16r2="http://schemas.microsoft.com/office/drawing/2015/06/chart">
            <c:ext xmlns:c16="http://schemas.microsoft.com/office/drawing/2014/chart" uri="{C3380CC4-5D6E-409C-BE32-E72D297353CC}">
              <c16:uniqueId val="{00000000-40EE-409F-830A-02D941121215}"/>
            </c:ext>
          </c:extLst>
        </c:ser>
        <c:dLbls>
          <c:showLegendKey val="0"/>
          <c:showVal val="0"/>
          <c:showCatName val="0"/>
          <c:showSerName val="0"/>
          <c:showPercent val="0"/>
          <c:showBubbleSize val="0"/>
        </c:dLbls>
        <c:smooth val="0"/>
        <c:axId val="408434408"/>
        <c:axId val="408435584"/>
      </c:lineChart>
      <c:catAx>
        <c:axId val="408434408"/>
        <c:scaling>
          <c:orientation val="minMax"/>
        </c:scaling>
        <c:delete val="0"/>
        <c:axPos val="b"/>
        <c:numFmt formatCode="General" sourceLinked="1"/>
        <c:majorTickMark val="none"/>
        <c:minorTickMark val="none"/>
        <c:tickLblPos val="nextTo"/>
        <c:crossAx val="408435584"/>
        <c:crosses val="autoZero"/>
        <c:auto val="1"/>
        <c:lblAlgn val="ctr"/>
        <c:lblOffset val="100"/>
        <c:noMultiLvlLbl val="0"/>
      </c:catAx>
      <c:valAx>
        <c:axId val="408435584"/>
        <c:scaling>
          <c:orientation val="minMax"/>
        </c:scaling>
        <c:delete val="0"/>
        <c:axPos val="l"/>
        <c:title>
          <c:tx>
            <c:rich>
              <a:bodyPr/>
              <a:lstStyle/>
              <a:p>
                <a:pPr>
                  <a:defRPr/>
                </a:pPr>
                <a:r>
                  <a:rPr lang="lt-LT"/>
                  <a:t>Vidutinis</a:t>
                </a:r>
                <a:r>
                  <a:rPr lang="lt-LT" baseline="0"/>
                  <a:t> metinis gyventojų skaičius</a:t>
                </a:r>
                <a:endParaRPr lang="ru-RU"/>
              </a:p>
            </c:rich>
          </c:tx>
          <c:layout/>
          <c:overlay val="0"/>
        </c:title>
        <c:numFmt formatCode="General" sourceLinked="1"/>
        <c:majorTickMark val="none"/>
        <c:minorTickMark val="none"/>
        <c:tickLblPos val="nextTo"/>
        <c:crossAx val="408434408"/>
        <c:crosses val="autoZero"/>
        <c:crossBetween val="between"/>
      </c:valAx>
      <c:dTable>
        <c:showHorzBorder val="1"/>
        <c:showVertBorder val="1"/>
        <c:showOutline val="1"/>
        <c:showKeys val="1"/>
      </c:dTable>
      <c:spPr>
        <a:solidFill>
          <a:schemeClr val="bg1">
            <a:lumMod val="95000"/>
          </a:schemeClr>
        </a:solidFill>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'[f4d20dbd-69e4-4643-8660-d653d041f0f9.xlsx]Лист1'!$B$1</c:f>
              <c:strCache>
                <c:ptCount val="1"/>
                <c:pt idx="0">
                  <c:v>Moterys</c:v>
                </c:pt>
              </c:strCache>
            </c:strRef>
          </c:tx>
          <c:marker>
            <c:symbol val="none"/>
          </c:marker>
          <c:cat>
            <c:numRef>
              <c:f>'[f4d20dbd-69e4-4643-8660-d653d041f0f9.xlsx]Лист1'!$A$2:$A$6</c:f>
              <c:numCache>
                <c:formatCode>General</c:formatCode>
                <c:ptCount val="5"/>
                <c:pt idx="0">
                  <c:v>2015</c:v>
                </c:pt>
                <c:pt idx="1">
                  <c:v>2016</c:v>
                </c:pt>
                <c:pt idx="2">
                  <c:v>2017</c:v>
                </c:pt>
                <c:pt idx="3">
                  <c:v>2018</c:v>
                </c:pt>
                <c:pt idx="4">
                  <c:v>2019</c:v>
                </c:pt>
              </c:numCache>
            </c:numRef>
          </c:cat>
          <c:val>
            <c:numRef>
              <c:f>'[f4d20dbd-69e4-4643-8660-d653d041f0f9.xlsx]Лист1'!$B$2:$B$6</c:f>
              <c:numCache>
                <c:formatCode>General</c:formatCode>
                <c:ptCount val="5"/>
                <c:pt idx="0">
                  <c:v>796</c:v>
                </c:pt>
                <c:pt idx="1">
                  <c:v>1063.9000000000001</c:v>
                </c:pt>
                <c:pt idx="2">
                  <c:v>1046.8</c:v>
                </c:pt>
                <c:pt idx="3">
                  <c:v>1000.8</c:v>
                </c:pt>
                <c:pt idx="4">
                  <c:v>990.7</c:v>
                </c:pt>
              </c:numCache>
            </c:numRef>
          </c:val>
          <c:smooth val="0"/>
          <c:extLst xmlns:c16r2="http://schemas.microsoft.com/office/drawing/2015/06/chart">
            <c:ext xmlns:c16="http://schemas.microsoft.com/office/drawing/2014/chart" uri="{C3380CC4-5D6E-409C-BE32-E72D297353CC}">
              <c16:uniqueId val="{00000000-45EE-4F59-8424-BC61B22746A8}"/>
            </c:ext>
          </c:extLst>
        </c:ser>
        <c:ser>
          <c:idx val="1"/>
          <c:order val="1"/>
          <c:tx>
            <c:strRef>
              <c:f>'[f4d20dbd-69e4-4643-8660-d653d041f0f9.xlsx]Лист1'!$C$1</c:f>
              <c:strCache>
                <c:ptCount val="1"/>
                <c:pt idx="0">
                  <c:v>Vyrai</c:v>
                </c:pt>
              </c:strCache>
            </c:strRef>
          </c:tx>
          <c:spPr>
            <a:ln>
              <a:solidFill>
                <a:schemeClr val="accent1"/>
              </a:solidFill>
            </a:ln>
          </c:spPr>
          <c:marker>
            <c:symbol val="none"/>
          </c:marker>
          <c:cat>
            <c:numRef>
              <c:f>'[f4d20dbd-69e4-4643-8660-d653d041f0f9.xlsx]Лист1'!$A$2:$A$6</c:f>
              <c:numCache>
                <c:formatCode>General</c:formatCode>
                <c:ptCount val="5"/>
                <c:pt idx="0">
                  <c:v>2015</c:v>
                </c:pt>
                <c:pt idx="1">
                  <c:v>2016</c:v>
                </c:pt>
                <c:pt idx="2">
                  <c:v>2017</c:v>
                </c:pt>
                <c:pt idx="3">
                  <c:v>2018</c:v>
                </c:pt>
                <c:pt idx="4">
                  <c:v>2019</c:v>
                </c:pt>
              </c:numCache>
            </c:numRef>
          </c:cat>
          <c:val>
            <c:numRef>
              <c:f>'[f4d20dbd-69e4-4643-8660-d653d041f0f9.xlsx]Лист1'!$C$2:$C$6</c:f>
              <c:numCache>
                <c:formatCode>#,##0.00</c:formatCode>
                <c:ptCount val="5"/>
                <c:pt idx="0">
                  <c:v>1220.7</c:v>
                </c:pt>
                <c:pt idx="1">
                  <c:v>1666.6</c:v>
                </c:pt>
                <c:pt idx="2">
                  <c:v>1724</c:v>
                </c:pt>
                <c:pt idx="3">
                  <c:v>1756.7</c:v>
                </c:pt>
                <c:pt idx="4">
                  <c:v>1547.4</c:v>
                </c:pt>
              </c:numCache>
            </c:numRef>
          </c:val>
          <c:smooth val="0"/>
          <c:extLst xmlns:c16r2="http://schemas.microsoft.com/office/drawing/2015/06/chart">
            <c:ext xmlns:c16="http://schemas.microsoft.com/office/drawing/2014/chart" uri="{C3380CC4-5D6E-409C-BE32-E72D297353CC}">
              <c16:uniqueId val="{00000001-45EE-4F59-8424-BC61B22746A8}"/>
            </c:ext>
          </c:extLst>
        </c:ser>
        <c:dLbls>
          <c:showLegendKey val="0"/>
          <c:showVal val="0"/>
          <c:showCatName val="0"/>
          <c:showSerName val="0"/>
          <c:showPercent val="0"/>
          <c:showBubbleSize val="0"/>
        </c:dLbls>
        <c:smooth val="0"/>
        <c:axId val="408437544"/>
        <c:axId val="408436368"/>
      </c:lineChart>
      <c:catAx>
        <c:axId val="408437544"/>
        <c:scaling>
          <c:orientation val="minMax"/>
        </c:scaling>
        <c:delete val="0"/>
        <c:axPos val="b"/>
        <c:numFmt formatCode="General" sourceLinked="1"/>
        <c:majorTickMark val="none"/>
        <c:minorTickMark val="none"/>
        <c:tickLblPos val="nextTo"/>
        <c:crossAx val="408436368"/>
        <c:crosses val="autoZero"/>
        <c:auto val="1"/>
        <c:lblAlgn val="ctr"/>
        <c:lblOffset val="100"/>
        <c:noMultiLvlLbl val="0"/>
      </c:catAx>
      <c:valAx>
        <c:axId val="408436368"/>
        <c:scaling>
          <c:orientation val="minMax"/>
        </c:scaling>
        <c:delete val="0"/>
        <c:axPos val="l"/>
        <c:title>
          <c:tx>
            <c:rich>
              <a:bodyPr/>
              <a:lstStyle/>
              <a:p>
                <a:pPr>
                  <a:defRPr/>
                </a:pPr>
                <a:r>
                  <a:rPr lang="lt-LT"/>
                  <a:t>Rodiklis</a:t>
                </a:r>
                <a:r>
                  <a:rPr lang="ru-RU"/>
                  <a:t> 100 000 </a:t>
                </a:r>
                <a:r>
                  <a:rPr lang="lt-LT"/>
                  <a:t>gyv. </a:t>
                </a:r>
                <a:endParaRPr lang="ru-RU"/>
              </a:p>
            </c:rich>
          </c:tx>
          <c:layout>
            <c:manualLayout>
              <c:xMode val="edge"/>
              <c:yMode val="edge"/>
              <c:x val="7.2222222222222243E-2"/>
              <c:y val="0.21056539807524072"/>
            </c:manualLayout>
          </c:layout>
          <c:overlay val="0"/>
        </c:title>
        <c:numFmt formatCode="General" sourceLinked="1"/>
        <c:majorTickMark val="none"/>
        <c:minorTickMark val="none"/>
        <c:tickLblPos val="nextTo"/>
        <c:crossAx val="40843754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Sheet1!$D$15</c:f>
              <c:strCache>
                <c:ptCount val="1"/>
                <c:pt idx="0">
                  <c:v>Šalčininkų r. sav.</c:v>
                </c:pt>
              </c:strCache>
            </c:strRef>
          </c:tx>
          <c:spPr>
            <a:ln w="22225" cap="rnd" cmpd="sng" algn="ctr">
              <a:solidFill>
                <a:schemeClr val="accent1"/>
              </a:solidFill>
              <a:round/>
            </a:ln>
            <a:effectLst/>
          </c:spPr>
          <c:marker>
            <c:symbol val="none"/>
          </c:marker>
          <c:cat>
            <c:numRef>
              <c:f>Sheet1!$C$16:$C$26</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Sheet1!$D$16:$D$26</c:f>
              <c:numCache>
                <c:formatCode>General</c:formatCode>
                <c:ptCount val="11"/>
                <c:pt idx="0">
                  <c:v>273.2</c:v>
                </c:pt>
                <c:pt idx="1">
                  <c:v>277.89999999999986</c:v>
                </c:pt>
                <c:pt idx="2">
                  <c:v>296.5</c:v>
                </c:pt>
                <c:pt idx="3">
                  <c:v>234</c:v>
                </c:pt>
                <c:pt idx="4">
                  <c:v>297.89999999999986</c:v>
                </c:pt>
                <c:pt idx="5">
                  <c:v>305</c:v>
                </c:pt>
                <c:pt idx="6">
                  <c:v>284</c:v>
                </c:pt>
                <c:pt idx="7">
                  <c:v>316.7</c:v>
                </c:pt>
                <c:pt idx="8">
                  <c:v>268.2</c:v>
                </c:pt>
                <c:pt idx="9">
                  <c:v>319.10000000000002</c:v>
                </c:pt>
                <c:pt idx="10">
                  <c:v>366.2</c:v>
                </c:pt>
              </c:numCache>
            </c:numRef>
          </c:val>
          <c:smooth val="0"/>
          <c:extLst xmlns:c16r2="http://schemas.microsoft.com/office/drawing/2015/06/chart">
            <c:ext xmlns:c16="http://schemas.microsoft.com/office/drawing/2014/chart" uri="{C3380CC4-5D6E-409C-BE32-E72D297353CC}">
              <c16:uniqueId val="{00000000-C401-4329-AB1A-1A4F79CB61E1}"/>
            </c:ext>
          </c:extLst>
        </c:ser>
        <c:ser>
          <c:idx val="1"/>
          <c:order val="1"/>
          <c:tx>
            <c:strRef>
              <c:f>Sheet1!$E$15</c:f>
              <c:strCache>
                <c:ptCount val="1"/>
                <c:pt idx="0">
                  <c:v>Lietuva</c:v>
                </c:pt>
              </c:strCache>
            </c:strRef>
          </c:tx>
          <c:spPr>
            <a:ln w="22225" cap="rnd" cmpd="sng" algn="ctr">
              <a:solidFill>
                <a:schemeClr val="accent2"/>
              </a:solidFill>
              <a:round/>
            </a:ln>
            <a:effectLst/>
          </c:spPr>
          <c:marker>
            <c:symbol val="none"/>
          </c:marker>
          <c:cat>
            <c:numRef>
              <c:f>Sheet1!$C$16:$C$26</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Sheet1!$E$16:$E$26</c:f>
              <c:numCache>
                <c:formatCode>General</c:formatCode>
                <c:ptCount val="11"/>
                <c:pt idx="0">
                  <c:v>280.89999999999986</c:v>
                </c:pt>
                <c:pt idx="1">
                  <c:v>279.10000000000002</c:v>
                </c:pt>
                <c:pt idx="2">
                  <c:v>276.89999999999986</c:v>
                </c:pt>
                <c:pt idx="3">
                  <c:v>272.3</c:v>
                </c:pt>
                <c:pt idx="4">
                  <c:v>265.5</c:v>
                </c:pt>
                <c:pt idx="5">
                  <c:v>269.89999999999986</c:v>
                </c:pt>
                <c:pt idx="6">
                  <c:v>278.60000000000002</c:v>
                </c:pt>
                <c:pt idx="7">
                  <c:v>282.3</c:v>
                </c:pt>
                <c:pt idx="8">
                  <c:v>275.2</c:v>
                </c:pt>
                <c:pt idx="9">
                  <c:v>274.60000000000002</c:v>
                </c:pt>
                <c:pt idx="10">
                  <c:v>273.5</c:v>
                </c:pt>
              </c:numCache>
            </c:numRef>
          </c:val>
          <c:smooth val="0"/>
          <c:extLst xmlns:c16r2="http://schemas.microsoft.com/office/drawing/2015/06/chart">
            <c:ext xmlns:c16="http://schemas.microsoft.com/office/drawing/2014/chart" uri="{C3380CC4-5D6E-409C-BE32-E72D297353CC}">
              <c16:uniqueId val="{00000001-C401-4329-AB1A-1A4F79CB61E1}"/>
            </c:ext>
          </c:extLst>
        </c:ser>
        <c:dLbls>
          <c:showLegendKey val="0"/>
          <c:showVal val="0"/>
          <c:showCatName val="0"/>
          <c:showSerName val="0"/>
          <c:showPercent val="0"/>
          <c:showBubbleSize val="0"/>
        </c:dLbls>
        <c:smooth val="0"/>
        <c:axId val="123128328"/>
        <c:axId val="123126368"/>
      </c:lineChart>
      <c:catAx>
        <c:axId val="12312832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lt-LT"/>
          </a:p>
        </c:txPr>
        <c:crossAx val="123126368"/>
        <c:crosses val="autoZero"/>
        <c:auto val="1"/>
        <c:lblAlgn val="ctr"/>
        <c:lblOffset val="100"/>
        <c:noMultiLvlLbl val="0"/>
      </c:catAx>
      <c:valAx>
        <c:axId val="123126368"/>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lt-LT"/>
                  <a:t>SMR nuo piktybinių navikų</a:t>
                </a:r>
                <a:br>
                  <a:rPr lang="lt-LT"/>
                </a:br>
                <a:r>
                  <a:rPr lang="lt-LT"/>
                  <a:t>100 000 gyv.</a:t>
                </a:r>
              </a:p>
            </c:rich>
          </c:tx>
          <c:layout>
            <c:manualLayout>
              <c:xMode val="edge"/>
              <c:yMode val="edge"/>
              <c:x val="9.7244732576985418E-2"/>
              <c:y val="5.5555555555555525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lt-LT"/>
          </a:p>
        </c:txPr>
        <c:crossAx val="123128328"/>
        <c:crosses val="autoZero"/>
        <c:crossBetween val="between"/>
      </c:valAx>
      <c:dTable>
        <c:showHorzBorder val="1"/>
        <c:showVertBorder val="1"/>
        <c:showOutline val="1"/>
        <c:showKeys val="1"/>
        <c:spPr>
          <a:noFill/>
          <a:ln w="9525">
            <a:solidFill>
              <a:schemeClr val="dk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dk1">
                    <a:lumMod val="65000"/>
                    <a:lumOff val="35000"/>
                  </a:schemeClr>
                </a:solidFill>
                <a:latin typeface="+mn-lt"/>
                <a:ea typeface="+mn-ea"/>
                <a:cs typeface="+mn-cs"/>
              </a:defRPr>
            </a:pPr>
            <a:endParaRPr lang="lt-LT"/>
          </a:p>
        </c:txPr>
      </c:dTable>
      <c:spPr>
        <a:gradFill>
          <a:gsLst>
            <a:gs pos="100000">
              <a:schemeClr val="lt1">
                <a:lumMod val="95000"/>
              </a:schemeClr>
            </a:gs>
            <a:gs pos="0">
              <a:schemeClr val="lt1"/>
            </a:gs>
          </a:gsLst>
          <a:lin ang="5400000" scaled="0"/>
        </a:grad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Лист1!$A$2</c:f>
              <c:strCache>
                <c:ptCount val="1"/>
                <c:pt idx="0">
                  <c:v>Šalčininkų r. sav.</c:v>
                </c:pt>
              </c:strCache>
            </c:strRef>
          </c:tx>
          <c:marker>
            <c:symbol val="none"/>
          </c:marker>
          <c:cat>
            <c:numRef>
              <c:f>Лист1!$B$1:$F$1</c:f>
              <c:numCache>
                <c:formatCode>General</c:formatCode>
                <c:ptCount val="5"/>
                <c:pt idx="0">
                  <c:v>2015</c:v>
                </c:pt>
                <c:pt idx="1">
                  <c:v>2016</c:v>
                </c:pt>
                <c:pt idx="2">
                  <c:v>2017</c:v>
                </c:pt>
                <c:pt idx="3">
                  <c:v>2018</c:v>
                </c:pt>
                <c:pt idx="4">
                  <c:v>2019</c:v>
                </c:pt>
              </c:numCache>
            </c:numRef>
          </c:cat>
          <c:val>
            <c:numRef>
              <c:f>Лист1!$B$2:$F$2</c:f>
              <c:numCache>
                <c:formatCode>General</c:formatCode>
                <c:ptCount val="5"/>
                <c:pt idx="0">
                  <c:v>44.4</c:v>
                </c:pt>
                <c:pt idx="1">
                  <c:v>47.9</c:v>
                </c:pt>
                <c:pt idx="2">
                  <c:v>49.9</c:v>
                </c:pt>
                <c:pt idx="3">
                  <c:v>51.5</c:v>
                </c:pt>
                <c:pt idx="4">
                  <c:v>52.8</c:v>
                </c:pt>
              </c:numCache>
            </c:numRef>
          </c:val>
          <c:smooth val="0"/>
          <c:extLst xmlns:c16r2="http://schemas.microsoft.com/office/drawing/2015/06/chart">
            <c:ext xmlns:c16="http://schemas.microsoft.com/office/drawing/2014/chart" uri="{C3380CC4-5D6E-409C-BE32-E72D297353CC}">
              <c16:uniqueId val="{00000000-2A5F-4C94-9DF1-18BFC6583516}"/>
            </c:ext>
          </c:extLst>
        </c:ser>
        <c:dLbls>
          <c:showLegendKey val="0"/>
          <c:showVal val="0"/>
          <c:showCatName val="0"/>
          <c:showSerName val="0"/>
          <c:showPercent val="0"/>
          <c:showBubbleSize val="0"/>
        </c:dLbls>
        <c:smooth val="0"/>
        <c:axId val="408694832"/>
        <c:axId val="408692480"/>
      </c:lineChart>
      <c:catAx>
        <c:axId val="408694832"/>
        <c:scaling>
          <c:orientation val="minMax"/>
        </c:scaling>
        <c:delete val="0"/>
        <c:axPos val="b"/>
        <c:numFmt formatCode="General" sourceLinked="1"/>
        <c:majorTickMark val="none"/>
        <c:minorTickMark val="none"/>
        <c:tickLblPos val="nextTo"/>
        <c:crossAx val="408692480"/>
        <c:crosses val="autoZero"/>
        <c:auto val="1"/>
        <c:lblAlgn val="ctr"/>
        <c:lblOffset val="100"/>
        <c:noMultiLvlLbl val="0"/>
      </c:catAx>
      <c:valAx>
        <c:axId val="408692480"/>
        <c:scaling>
          <c:orientation val="minMax"/>
        </c:scaling>
        <c:delete val="0"/>
        <c:axPos val="l"/>
        <c:title>
          <c:tx>
            <c:rich>
              <a:bodyPr/>
              <a:lstStyle/>
              <a:p>
                <a:pPr>
                  <a:defRPr/>
                </a:pPr>
                <a:r>
                  <a:rPr lang="lt-LT"/>
                  <a:t>Išvengiamų hospitalizacijų </a:t>
                </a:r>
                <a:r>
                  <a:rPr lang="en-GB"/>
                  <a:t/>
                </a:r>
                <a:br>
                  <a:rPr lang="en-GB"/>
                </a:br>
                <a:r>
                  <a:rPr lang="lt-LT"/>
                  <a:t>sk.</a:t>
                </a:r>
                <a:r>
                  <a:rPr lang="en-GB"/>
                  <a:t> 1000 gyv.</a:t>
                </a:r>
                <a:r>
                  <a:rPr lang="lt-LT"/>
                  <a:t> </a:t>
                </a:r>
                <a:endParaRPr lang="ru-RU"/>
              </a:p>
            </c:rich>
          </c:tx>
          <c:layout>
            <c:manualLayout>
              <c:xMode val="edge"/>
              <c:yMode val="edge"/>
              <c:x val="8.794992175273865E-2"/>
              <c:y val="0.18091462525517646"/>
            </c:manualLayout>
          </c:layout>
          <c:overlay val="0"/>
        </c:title>
        <c:numFmt formatCode="General" sourceLinked="1"/>
        <c:majorTickMark val="none"/>
        <c:minorTickMark val="none"/>
        <c:tickLblPos val="nextTo"/>
        <c:crossAx val="40869483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18</TotalTime>
  <Pages>16</Pages>
  <Words>3272</Words>
  <Characters>22733</Characters>
  <Application>Microsoft Office Word</Application>
  <DocSecurity>0</DocSecurity>
  <Lines>1262</Lines>
  <Paragraphs>764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Manager>2021-02-09</Manager>
  <Company>Savivaldybe</Company>
  <LinksUpToDate>false</LinksUpToDate>
  <CharactersWithSpaces>25241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ŠALČININKŲ RAJONO SAVIVALDYBĖS VISUOMENĖS SVEIKATOS STEBĖSENOS 2019 METŲ ATASKAITOS PATVIRTINIMO</dc:title>
  <dc:subject>PR-710</dc:subject>
  <dc:creator>ŠALČININKŲ RAJONO SAVIVALDYBĖS TARYBA</dc:creator>
  <cp:lastModifiedBy>Viktorija Urbanovič</cp:lastModifiedBy>
  <cp:revision>6</cp:revision>
  <cp:lastPrinted>2010-08-09T13:05:00Z</cp:lastPrinted>
  <dcterms:created xsi:type="dcterms:W3CDTF">2020-06-01T11:11:00Z</dcterms:created>
  <dcterms:modified xsi:type="dcterms:W3CDTF">2021-02-09T15:17:00Z</dcterms:modified>
  <cp:category>Priedas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
  </property>
  <property fmtid="{D5CDD505-2E9C-101B-9397-08002B2CF9AE}" pid="3" name="DLX:RegistrationNo">
    <vt:lpwstr/>
  </property>
  <property fmtid="{D5CDD505-2E9C-101B-9397-08002B2CF9AE}" pid="4" name="DLX:abs_gov_DokPasirasancioAsmensPareigos:Title">
    <vt:lpwstr>Savivaldybės administracijos direktorius</vt:lpwstr>
  </property>
  <property fmtid="{D5CDD505-2E9C-101B-9397-08002B2CF9AE}" pid="5" name="DLX:abs_gov_DokumentaPasirasantisAsmuo:Title">
    <vt:lpwstr>Josif Rybak</vt:lpwstr>
  </property>
  <property fmtid="{D5CDD505-2E9C-101B-9397-08002B2CF9AE}" pid="6" name="DLX:abs_gov_DokumentoRengejas:Title">
    <vt:lpwstr>Jolanta Černiavskienė</vt:lpwstr>
  </property>
  <property fmtid="{D5CDD505-2E9C-101B-9397-08002B2CF9AE}" pid="7" name="DLX:abs_gov_DokumentoRengejas:Phone">
    <vt:lpwstr>838020213</vt:lpwstr>
  </property>
  <property fmtid="{D5CDD505-2E9C-101B-9397-08002B2CF9AE}" pid="8" name="DLX:abs_gov_DokumentoRengejas:Email">
    <vt:lpwstr>dlx@salcininkai.lt</vt:lpwstr>
  </property>
  <property fmtid="{D5CDD505-2E9C-101B-9397-08002B2CF9AE}" pid="9" name="DLX:abs_gov_DokumentoRengejoPadalinys:Title">
    <vt:lpwstr>Socialinės paramos ir sveikatos apsaugos skyrius</vt:lpwstr>
  </property>
  <property fmtid="{D5CDD505-2E9C-101B-9397-08002B2CF9AE}" pid="10" name="DLX:abs_gov_DokumentoRengejas:DlxEmail">
    <vt:lpwstr>jolanta.cerniavskiene@salcininkai.lt</vt:lpwstr>
  </property>
</Properties>
</file>